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5F0" w:rsidRPr="006845F0" w:rsidRDefault="006845F0" w:rsidP="006845F0">
      <w:pPr>
        <w:spacing w:before="100" w:beforeAutospacing="1" w:after="100" w:afterAutospacing="1" w:line="240" w:lineRule="auto"/>
        <w:outlineLvl w:val="0"/>
        <w:rPr>
          <w:rFonts w:ascii="Times New Roman" w:eastAsia="Times New Roman" w:hAnsi="Times New Roman" w:cs="Times New Roman"/>
          <w:b/>
          <w:bCs/>
          <w:noProof w:val="0"/>
          <w:kern w:val="36"/>
          <w:sz w:val="48"/>
          <w:szCs w:val="48"/>
          <w:lang w:val="en-US"/>
        </w:rPr>
      </w:pPr>
      <w:bookmarkStart w:id="0" w:name="_GoBack"/>
      <w:bookmarkEnd w:id="0"/>
      <w:r w:rsidRPr="006845F0">
        <w:rPr>
          <w:rFonts w:ascii="Times New Roman" w:eastAsia="Times New Roman" w:hAnsi="Times New Roman" w:cs="Times New Roman"/>
          <w:b/>
          <w:bCs/>
          <w:noProof w:val="0"/>
          <w:kern w:val="36"/>
          <w:sz w:val="48"/>
          <w:szCs w:val="48"/>
          <w:lang w:val="en-US"/>
        </w:rPr>
        <w:t>14. CONDITIONS FOR CONNECTION TO INFRASTRUCTURE</w:t>
      </w:r>
    </w:p>
    <w:p w:rsidR="006845F0" w:rsidRPr="006845F0" w:rsidRDefault="006845F0" w:rsidP="006845F0">
      <w:pPr>
        <w:spacing w:before="100" w:beforeAutospacing="1" w:after="100" w:afterAutospacing="1" w:line="240" w:lineRule="auto"/>
        <w:outlineLvl w:val="1"/>
        <w:rPr>
          <w:rFonts w:ascii="Times New Roman" w:eastAsia="Times New Roman" w:hAnsi="Times New Roman" w:cs="Times New Roman"/>
          <w:b/>
          <w:bCs/>
          <w:noProof w:val="0"/>
          <w:sz w:val="36"/>
          <w:szCs w:val="36"/>
          <w:lang w:val="en-US"/>
        </w:rPr>
      </w:pPr>
      <w:r w:rsidRPr="006845F0">
        <w:rPr>
          <w:rFonts w:ascii="Times New Roman" w:eastAsia="Times New Roman" w:hAnsi="Times New Roman" w:cs="Times New Roman"/>
          <w:b/>
          <w:bCs/>
          <w:noProof w:val="0"/>
          <w:sz w:val="36"/>
          <w:szCs w:val="36"/>
          <w:lang w:val="en-US"/>
        </w:rPr>
        <w:t>14.1 Conditions for Connection to the Power Supply Infrastructure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Within the boundaries of the Amendments and Supplements to the Detailed Urban Plan (UP)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there are power facilities of two voltage levels: 10 kV and 1 kV.</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following cables pass through the UP area:</w:t>
      </w:r>
    </w:p>
    <w:p w:rsidR="006845F0" w:rsidRPr="006845F0" w:rsidRDefault="006845F0" w:rsidP="006845F0">
      <w:pPr>
        <w:numPr>
          <w:ilvl w:val="0"/>
          <w:numId w:val="1"/>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SS 35/10 kV “</w:t>
      </w:r>
      <w:proofErr w:type="spellStart"/>
      <w:r w:rsidRPr="006845F0">
        <w:rPr>
          <w:rFonts w:ascii="Times New Roman" w:eastAsia="Times New Roman" w:hAnsi="Times New Roman" w:cs="Times New Roman"/>
          <w:noProof w:val="0"/>
          <w:sz w:val="24"/>
          <w:szCs w:val="24"/>
          <w:lang w:val="en-US"/>
        </w:rPr>
        <w:t>Gorica</w:t>
      </w:r>
      <w:proofErr w:type="spellEnd"/>
      <w:r w:rsidRPr="006845F0">
        <w:rPr>
          <w:rFonts w:ascii="Times New Roman" w:eastAsia="Times New Roman" w:hAnsi="Times New Roman" w:cs="Times New Roman"/>
          <w:noProof w:val="0"/>
          <w:sz w:val="24"/>
          <w:szCs w:val="24"/>
          <w:lang w:val="en-US"/>
        </w:rPr>
        <w:t>” – SS 10/0.4 kV “</w:t>
      </w:r>
      <w:proofErr w:type="spellStart"/>
      <w:r w:rsidRPr="006845F0">
        <w:rPr>
          <w:rFonts w:ascii="Times New Roman" w:eastAsia="Times New Roman" w:hAnsi="Times New Roman" w:cs="Times New Roman"/>
          <w:noProof w:val="0"/>
          <w:sz w:val="24"/>
          <w:szCs w:val="24"/>
          <w:lang w:val="en-US"/>
        </w:rPr>
        <w:t>Apoteka</w:t>
      </w:r>
      <w:proofErr w:type="spellEnd"/>
      <w:r w:rsidRPr="006845F0">
        <w:rPr>
          <w:rFonts w:ascii="Times New Roman" w:eastAsia="Times New Roman" w:hAnsi="Times New Roman" w:cs="Times New Roman"/>
          <w:noProof w:val="0"/>
          <w:sz w:val="24"/>
          <w:szCs w:val="24"/>
          <w:lang w:val="en-US"/>
        </w:rPr>
        <w:t>”</w:t>
      </w:r>
    </w:p>
    <w:p w:rsidR="006845F0" w:rsidRPr="006845F0" w:rsidRDefault="006845F0" w:rsidP="006845F0">
      <w:pPr>
        <w:numPr>
          <w:ilvl w:val="0"/>
          <w:numId w:val="1"/>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SS 35/10 kV “</w:t>
      </w:r>
      <w:proofErr w:type="spellStart"/>
      <w:r w:rsidRPr="006845F0">
        <w:rPr>
          <w:rFonts w:ascii="Times New Roman" w:eastAsia="Times New Roman" w:hAnsi="Times New Roman" w:cs="Times New Roman"/>
          <w:noProof w:val="0"/>
          <w:sz w:val="24"/>
          <w:szCs w:val="24"/>
          <w:lang w:val="en-US"/>
        </w:rPr>
        <w:t>Gorica</w:t>
      </w:r>
      <w:proofErr w:type="spellEnd"/>
      <w:r w:rsidRPr="006845F0">
        <w:rPr>
          <w:rFonts w:ascii="Times New Roman" w:eastAsia="Times New Roman" w:hAnsi="Times New Roman" w:cs="Times New Roman"/>
          <w:noProof w:val="0"/>
          <w:sz w:val="24"/>
          <w:szCs w:val="24"/>
          <w:lang w:val="en-US"/>
        </w:rPr>
        <w:t>” – SS 10/0.4 kV “</w:t>
      </w:r>
      <w:proofErr w:type="spellStart"/>
      <w:r w:rsidRPr="006845F0">
        <w:rPr>
          <w:rFonts w:ascii="Times New Roman" w:eastAsia="Times New Roman" w:hAnsi="Times New Roman" w:cs="Times New Roman"/>
          <w:noProof w:val="0"/>
          <w:sz w:val="24"/>
          <w:szCs w:val="24"/>
          <w:lang w:val="en-US"/>
        </w:rPr>
        <w:t>Karadjordjeva</w:t>
      </w:r>
      <w:proofErr w:type="spellEnd"/>
      <w:r w:rsidRPr="006845F0">
        <w:rPr>
          <w:rFonts w:ascii="Times New Roman" w:eastAsia="Times New Roman" w:hAnsi="Times New Roman" w:cs="Times New Roman"/>
          <w:noProof w:val="0"/>
          <w:sz w:val="24"/>
          <w:szCs w:val="24"/>
          <w:lang w:val="en-US"/>
        </w:rPr>
        <w:t>”</w:t>
      </w:r>
    </w:p>
    <w:p w:rsidR="006845F0" w:rsidRPr="006845F0" w:rsidRDefault="006845F0" w:rsidP="006845F0">
      <w:pPr>
        <w:numPr>
          <w:ilvl w:val="0"/>
          <w:numId w:val="1"/>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SS 10/0.4 kV “</w:t>
      </w:r>
      <w:proofErr w:type="spellStart"/>
      <w:r w:rsidRPr="006845F0">
        <w:rPr>
          <w:rFonts w:ascii="Times New Roman" w:eastAsia="Times New Roman" w:hAnsi="Times New Roman" w:cs="Times New Roman"/>
          <w:noProof w:val="0"/>
          <w:sz w:val="24"/>
          <w:szCs w:val="24"/>
          <w:lang w:val="en-US"/>
        </w:rPr>
        <w:t>Socijalno</w:t>
      </w:r>
      <w:proofErr w:type="spellEnd"/>
      <w:r w:rsidRPr="006845F0">
        <w:rPr>
          <w:rFonts w:ascii="Times New Roman" w:eastAsia="Times New Roman" w:hAnsi="Times New Roman" w:cs="Times New Roman"/>
          <w:noProof w:val="0"/>
          <w:sz w:val="24"/>
          <w:szCs w:val="24"/>
          <w:lang w:val="en-US"/>
        </w:rPr>
        <w:t xml:space="preserve"> 2” – DTS 10/0.4 kV “</w:t>
      </w:r>
      <w:proofErr w:type="spellStart"/>
      <w:r w:rsidRPr="006845F0">
        <w:rPr>
          <w:rFonts w:ascii="Times New Roman" w:eastAsia="Times New Roman" w:hAnsi="Times New Roman" w:cs="Times New Roman"/>
          <w:noProof w:val="0"/>
          <w:sz w:val="24"/>
          <w:szCs w:val="24"/>
          <w:lang w:val="en-US"/>
        </w:rPr>
        <w:t>Vojna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w:t>
      </w:r>
    </w:p>
    <w:p w:rsidR="006845F0" w:rsidRPr="006845F0" w:rsidRDefault="006845F0" w:rsidP="006845F0">
      <w:pPr>
        <w:numPr>
          <w:ilvl w:val="0"/>
          <w:numId w:val="1"/>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SS 10/0.4 kV “Dom Zdravlja” – SS 10/0.4 kV “</w:t>
      </w:r>
      <w:proofErr w:type="spellStart"/>
      <w:r w:rsidRPr="006845F0">
        <w:rPr>
          <w:rFonts w:ascii="Times New Roman" w:eastAsia="Times New Roman" w:hAnsi="Times New Roman" w:cs="Times New Roman"/>
          <w:noProof w:val="0"/>
          <w:sz w:val="24"/>
          <w:szCs w:val="24"/>
          <w:lang w:val="en-US"/>
        </w:rPr>
        <w:t>Pozorište</w:t>
      </w:r>
      <w:proofErr w:type="spellEnd"/>
      <w:r w:rsidRPr="006845F0">
        <w:rPr>
          <w:rFonts w:ascii="Times New Roman" w:eastAsia="Times New Roman" w:hAnsi="Times New Roman" w:cs="Times New Roman"/>
          <w:noProof w:val="0"/>
          <w:sz w:val="24"/>
          <w:szCs w:val="24"/>
          <w:lang w:val="en-US"/>
        </w:rPr>
        <w:t>”</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With the construction of UP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the peak power demand at the level of the Podgorica General Urban Plan (GUP) will increase by 7.44888 MVA.</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substation closest to the UP area, SS 35/10 kV “</w:t>
      </w:r>
      <w:proofErr w:type="spellStart"/>
      <w:r w:rsidRPr="006845F0">
        <w:rPr>
          <w:rFonts w:ascii="Times New Roman" w:eastAsia="Times New Roman" w:hAnsi="Times New Roman" w:cs="Times New Roman"/>
          <w:noProof w:val="0"/>
          <w:sz w:val="24"/>
          <w:szCs w:val="24"/>
          <w:lang w:val="en-US"/>
        </w:rPr>
        <w:t>Gorica</w:t>
      </w:r>
      <w:proofErr w:type="spellEnd"/>
      <w:r w:rsidRPr="006845F0">
        <w:rPr>
          <w:rFonts w:ascii="Times New Roman" w:eastAsia="Times New Roman" w:hAnsi="Times New Roman" w:cs="Times New Roman"/>
          <w:noProof w:val="0"/>
          <w:sz w:val="24"/>
          <w:szCs w:val="24"/>
          <w:lang w:val="en-US"/>
        </w:rPr>
        <w:t>”, 2 × 12.5 MVA, cannot serve as the main node for high-quality power supply to consumers within the UP, as it cannot provide the required peak power of 7.44888 MVA.</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In order to ensure a reliable power supply for UP consumers, it is necessary to accelerate the construction of the planned SS 110/10 kV “Podgorica 6”, 2 × 40 MVA, at the location of the existing SS 35/10 kV “</w:t>
      </w:r>
      <w:proofErr w:type="spellStart"/>
      <w:r w:rsidRPr="006845F0">
        <w:rPr>
          <w:rFonts w:ascii="Times New Roman" w:eastAsia="Times New Roman" w:hAnsi="Times New Roman" w:cs="Times New Roman"/>
          <w:noProof w:val="0"/>
          <w:sz w:val="24"/>
          <w:szCs w:val="24"/>
          <w:lang w:val="en-US"/>
        </w:rPr>
        <w:t>Centar</w:t>
      </w:r>
      <w:proofErr w:type="spellEnd"/>
      <w:r w:rsidRPr="006845F0">
        <w:rPr>
          <w:rFonts w:ascii="Times New Roman" w:eastAsia="Times New Roman" w:hAnsi="Times New Roman" w:cs="Times New Roman"/>
          <w:noProof w:val="0"/>
          <w:sz w:val="24"/>
          <w:szCs w:val="24"/>
          <w:lang w:val="en-US"/>
        </w:rPr>
        <w:t>”.</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Based on the calculated power demand, the distribution of new consumers among transformer stations, and the existing state of the </w:t>
      </w:r>
      <w:proofErr w:type="gramStart"/>
      <w:r w:rsidRPr="006845F0">
        <w:rPr>
          <w:rFonts w:ascii="Times New Roman" w:eastAsia="Times New Roman" w:hAnsi="Times New Roman" w:cs="Times New Roman"/>
          <w:noProof w:val="0"/>
          <w:sz w:val="24"/>
          <w:szCs w:val="24"/>
          <w:lang w:val="en-US"/>
        </w:rPr>
        <w:t>10 kV</w:t>
      </w:r>
      <w:proofErr w:type="gramEnd"/>
      <w:r w:rsidRPr="006845F0">
        <w:rPr>
          <w:rFonts w:ascii="Times New Roman" w:eastAsia="Times New Roman" w:hAnsi="Times New Roman" w:cs="Times New Roman"/>
          <w:noProof w:val="0"/>
          <w:sz w:val="24"/>
          <w:szCs w:val="24"/>
          <w:lang w:val="en-US"/>
        </w:rPr>
        <w:t xml:space="preserve"> network, the development plan envisages the following 10 kV power facilities:</w:t>
      </w:r>
    </w:p>
    <w:p w:rsidR="006845F0" w:rsidRPr="006845F0" w:rsidRDefault="006845F0" w:rsidP="006845F0">
      <w:pPr>
        <w:spacing w:before="100" w:beforeAutospacing="1" w:after="100" w:afterAutospacing="1" w:line="240" w:lineRule="auto"/>
        <w:outlineLvl w:val="2"/>
        <w:rPr>
          <w:rFonts w:ascii="Times New Roman" w:eastAsia="Times New Roman" w:hAnsi="Times New Roman" w:cs="Times New Roman"/>
          <w:b/>
          <w:bCs/>
          <w:noProof w:val="0"/>
          <w:sz w:val="27"/>
          <w:szCs w:val="27"/>
          <w:lang w:val="en-US"/>
        </w:rPr>
      </w:pPr>
      <w:r w:rsidRPr="006845F0">
        <w:rPr>
          <w:rFonts w:ascii="Times New Roman" w:eastAsia="Times New Roman" w:hAnsi="Times New Roman" w:cs="Times New Roman"/>
          <w:b/>
          <w:bCs/>
          <w:noProof w:val="0"/>
          <w:sz w:val="27"/>
          <w:szCs w:val="27"/>
          <w:lang w:val="en-US"/>
        </w:rPr>
        <w:t>Transformer Substations 10/0.4 kV</w:t>
      </w:r>
    </w:p>
    <w:p w:rsidR="006845F0" w:rsidRPr="006845F0" w:rsidRDefault="006845F0" w:rsidP="006845F0">
      <w:pPr>
        <w:numPr>
          <w:ilvl w:val="0"/>
          <w:numId w:val="2"/>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NDTS 10/0.4 kV 2 × 1000 kVA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1” – new</w:t>
      </w:r>
    </w:p>
    <w:p w:rsidR="006845F0" w:rsidRPr="006845F0" w:rsidRDefault="006845F0" w:rsidP="006845F0">
      <w:pPr>
        <w:numPr>
          <w:ilvl w:val="0"/>
          <w:numId w:val="2"/>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NDTS 10/0.4 kV 1000 kVA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2” – new</w:t>
      </w:r>
    </w:p>
    <w:p w:rsidR="006845F0" w:rsidRPr="006845F0" w:rsidRDefault="006845F0" w:rsidP="006845F0">
      <w:pPr>
        <w:numPr>
          <w:ilvl w:val="0"/>
          <w:numId w:val="2"/>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NDTS 10/0.4 kV 2 × 1000 kVA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3” – new</w:t>
      </w:r>
    </w:p>
    <w:p w:rsidR="006845F0" w:rsidRPr="006845F0" w:rsidRDefault="006845F0" w:rsidP="006845F0">
      <w:pPr>
        <w:numPr>
          <w:ilvl w:val="0"/>
          <w:numId w:val="2"/>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NDTS 10/0.4 kV 1000 kVA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4” – new</w:t>
      </w:r>
    </w:p>
    <w:p w:rsidR="006845F0" w:rsidRPr="006845F0" w:rsidRDefault="006845F0" w:rsidP="006845F0">
      <w:pPr>
        <w:numPr>
          <w:ilvl w:val="0"/>
          <w:numId w:val="2"/>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NDTS 10/0.4 kV 2 × 1000 kVA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5” – new</w:t>
      </w:r>
    </w:p>
    <w:p w:rsidR="006845F0" w:rsidRPr="006845F0" w:rsidRDefault="006845F0" w:rsidP="006845F0">
      <w:pPr>
        <w:numPr>
          <w:ilvl w:val="0"/>
          <w:numId w:val="2"/>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NDTS 10/0.4 kV 2 × 1000 kVA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6” – new</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The new substations are planned to be installed within the UP buildings and must be at least triple-through on the high-voltage side, constructed using SF6 technology, with the required </w:t>
      </w:r>
      <w:r w:rsidRPr="006845F0">
        <w:rPr>
          <w:rFonts w:ascii="Times New Roman" w:eastAsia="Times New Roman" w:hAnsi="Times New Roman" w:cs="Times New Roman"/>
          <w:noProof w:val="0"/>
          <w:sz w:val="24"/>
          <w:szCs w:val="24"/>
          <w:lang w:val="en-US"/>
        </w:rPr>
        <w:lastRenderedPageBreak/>
        <w:t>number of low-voltage outputs, namely eight per 630 kVA transformer and twelve per 1000 kVA transformer.</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When designing and constructing substations, the equipment must be standardized in accordance with the technical recommendations of EPCG A.D. </w:t>
      </w:r>
      <w:proofErr w:type="spellStart"/>
      <w:r w:rsidRPr="006845F0">
        <w:rPr>
          <w:rFonts w:ascii="Times New Roman" w:eastAsia="Times New Roman" w:hAnsi="Times New Roman" w:cs="Times New Roman"/>
          <w:noProof w:val="0"/>
          <w:sz w:val="24"/>
          <w:szCs w:val="24"/>
          <w:lang w:val="en-US"/>
        </w:rPr>
        <w:t>Nikšić</w:t>
      </w:r>
      <w:proofErr w:type="spellEnd"/>
      <w:r w:rsidRPr="006845F0">
        <w:rPr>
          <w:rFonts w:ascii="Times New Roman" w:eastAsia="Times New Roman" w:hAnsi="Times New Roman" w:cs="Times New Roman"/>
          <w:noProof w:val="0"/>
          <w:sz w:val="24"/>
          <w:szCs w:val="24"/>
          <w:lang w:val="en-US"/>
        </w:rPr>
        <w:t xml:space="preserve"> (TP-1b) and the requirements of the competent electricity distribution authority.</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electrical installations of all new buildings must be carried out in accordance with applicable technical regulations and standards, and for residential buildings also in accordance with higher-level planning regulations.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installations must comply with current technical regulations and standards for low-voltage electrical installations. The TN-S system shall be applied for protection against indirect contact within buildings.</w:t>
      </w:r>
    </w:p>
    <w:p w:rsidR="006845F0" w:rsidRPr="006845F0" w:rsidRDefault="006845F0" w:rsidP="006845F0">
      <w:pPr>
        <w:spacing w:before="100" w:beforeAutospacing="1" w:after="100" w:afterAutospacing="1" w:line="240" w:lineRule="auto"/>
        <w:outlineLvl w:val="2"/>
        <w:rPr>
          <w:rFonts w:ascii="Times New Roman" w:eastAsia="Times New Roman" w:hAnsi="Times New Roman" w:cs="Times New Roman"/>
          <w:b/>
          <w:bCs/>
          <w:noProof w:val="0"/>
          <w:sz w:val="27"/>
          <w:szCs w:val="27"/>
          <w:lang w:val="en-US"/>
        </w:rPr>
      </w:pPr>
      <w:r w:rsidRPr="006845F0">
        <w:rPr>
          <w:rFonts w:ascii="Times New Roman" w:eastAsia="Times New Roman" w:hAnsi="Times New Roman" w:cs="Times New Roman"/>
          <w:b/>
          <w:bCs/>
          <w:noProof w:val="0"/>
          <w:sz w:val="27"/>
          <w:szCs w:val="27"/>
          <w:lang w:val="en-US"/>
        </w:rPr>
        <w:t>Public Lighting</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Since public lighting is an integral part of the urban environment, it should be designed to satisfy both urban planning and traffic engineering requirements while becoming an integral element of the urban setting.</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Attention must be paid to ensuring that road and public area lighting meets minimum requirements that provide safe and comfortable movement for all participants in nighttime traffic while also fulfilling a decorative function.</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Therefore, street lighting design must consider four basic lighting quality criteria:</w:t>
      </w:r>
    </w:p>
    <w:p w:rsidR="006845F0" w:rsidRPr="006845F0" w:rsidRDefault="006845F0" w:rsidP="006845F0">
      <w:pPr>
        <w:numPr>
          <w:ilvl w:val="0"/>
          <w:numId w:val="3"/>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Road surface luminance level;</w:t>
      </w:r>
    </w:p>
    <w:p w:rsidR="006845F0" w:rsidRPr="006845F0" w:rsidRDefault="006845F0" w:rsidP="006845F0">
      <w:pPr>
        <w:numPr>
          <w:ilvl w:val="0"/>
          <w:numId w:val="3"/>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Longitudinal and overall luminance uniformity;</w:t>
      </w:r>
    </w:p>
    <w:p w:rsidR="006845F0" w:rsidRPr="006845F0" w:rsidRDefault="006845F0" w:rsidP="006845F0">
      <w:pPr>
        <w:numPr>
          <w:ilvl w:val="0"/>
          <w:numId w:val="3"/>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Glare limitation (reduction of psychological glare);</w:t>
      </w:r>
    </w:p>
    <w:p w:rsidR="006845F0" w:rsidRPr="006845F0" w:rsidRDefault="006845F0" w:rsidP="006845F0">
      <w:pPr>
        <w:numPr>
          <w:ilvl w:val="0"/>
          <w:numId w:val="3"/>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Visual guidance of traffic.</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According to current CIE recommendations (CIE Publication 115, 1995), all roads intended for motorized and mixed traffic are classified into five lighting classes, M1 to M5, depending on road category, traffic density and complexity, the presence of traffic control devices (traffic lights, traffic signs), and facilities for separating traffic participants.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following table provides values for the listed lighting parameters that still ensure good visibility and visual comfort.</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According to the requirements of this plan and the competent authority.</w:t>
      </w:r>
    </w:p>
    <w:p w:rsidR="006845F0" w:rsidRPr="006845F0" w:rsidRDefault="006845F0" w:rsidP="006845F0">
      <w:pPr>
        <w:spacing w:after="0"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pict>
          <v:rect id="_x0000_i1025" style="width:0;height:1.5pt" o:hralign="center" o:hrstd="t" o:hr="t" fillcolor="#a0a0a0" stroked="f"/>
        </w:pict>
      </w:r>
    </w:p>
    <w:p w:rsidR="006845F0" w:rsidRPr="006845F0" w:rsidRDefault="006845F0" w:rsidP="006845F0">
      <w:pPr>
        <w:spacing w:before="100" w:beforeAutospacing="1" w:after="100" w:afterAutospacing="1" w:line="240" w:lineRule="auto"/>
        <w:outlineLvl w:val="1"/>
        <w:rPr>
          <w:rFonts w:ascii="Times New Roman" w:eastAsia="Times New Roman" w:hAnsi="Times New Roman" w:cs="Times New Roman"/>
          <w:b/>
          <w:bCs/>
          <w:noProof w:val="0"/>
          <w:sz w:val="36"/>
          <w:szCs w:val="36"/>
          <w:lang w:val="en-US"/>
        </w:rPr>
      </w:pPr>
      <w:r w:rsidRPr="006845F0">
        <w:rPr>
          <w:rFonts w:ascii="Times New Roman" w:eastAsia="Times New Roman" w:hAnsi="Times New Roman" w:cs="Times New Roman"/>
          <w:b/>
          <w:bCs/>
          <w:noProof w:val="0"/>
          <w:sz w:val="36"/>
          <w:szCs w:val="36"/>
          <w:lang w:val="en-US"/>
        </w:rPr>
        <w:lastRenderedPageBreak/>
        <w:t>14.2 Conditions for Connection to Water Supply and Sewerage Infrastructure</w:t>
      </w:r>
    </w:p>
    <w:p w:rsidR="006845F0" w:rsidRPr="006845F0" w:rsidRDefault="006845F0" w:rsidP="006845F0">
      <w:pPr>
        <w:spacing w:before="100" w:beforeAutospacing="1" w:after="100" w:afterAutospacing="1" w:line="240" w:lineRule="auto"/>
        <w:outlineLvl w:val="2"/>
        <w:rPr>
          <w:rFonts w:ascii="Times New Roman" w:eastAsia="Times New Roman" w:hAnsi="Times New Roman" w:cs="Times New Roman"/>
          <w:b/>
          <w:bCs/>
          <w:noProof w:val="0"/>
          <w:sz w:val="27"/>
          <w:szCs w:val="27"/>
          <w:lang w:val="en-US"/>
        </w:rPr>
      </w:pPr>
      <w:r w:rsidRPr="006845F0">
        <w:rPr>
          <w:rFonts w:ascii="Times New Roman" w:eastAsia="Times New Roman" w:hAnsi="Times New Roman" w:cs="Times New Roman"/>
          <w:b/>
          <w:bCs/>
          <w:noProof w:val="0"/>
          <w:sz w:val="27"/>
          <w:szCs w:val="27"/>
          <w:lang w:val="en-US"/>
        </w:rPr>
        <w:t>Water Supply</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For supplying water to the planned buildings within UP Area, Location 6, considering their intended use, a pipeline is planned from </w:t>
      </w:r>
      <w:proofErr w:type="spellStart"/>
      <w:r w:rsidRPr="006845F0">
        <w:rPr>
          <w:rFonts w:ascii="Times New Roman" w:eastAsia="Times New Roman" w:hAnsi="Times New Roman" w:cs="Times New Roman"/>
          <w:noProof w:val="0"/>
          <w:sz w:val="24"/>
          <w:szCs w:val="24"/>
          <w:lang w:val="en-US"/>
        </w:rPr>
        <w:t>Vaka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Đurovića</w:t>
      </w:r>
      <w:proofErr w:type="spellEnd"/>
      <w:r w:rsidRPr="006845F0">
        <w:rPr>
          <w:rFonts w:ascii="Times New Roman" w:eastAsia="Times New Roman" w:hAnsi="Times New Roman" w:cs="Times New Roman"/>
          <w:noProof w:val="0"/>
          <w:sz w:val="24"/>
          <w:szCs w:val="24"/>
          <w:lang w:val="en-US"/>
        </w:rPr>
        <w:t xml:space="preserve"> Street to the northern sidewalk of the roadway extending from Millennium Bridge, along the internal road connecting all planned buildings, with a diameter of Ø 200 mm.</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This pipeline is planned to connect to a Ø 300 mm pipeline coming from Millennium Bridge and to a future Ø 200 mm pipeline in </w:t>
      </w:r>
      <w:proofErr w:type="spellStart"/>
      <w:r w:rsidRPr="006845F0">
        <w:rPr>
          <w:rFonts w:ascii="Times New Roman" w:eastAsia="Times New Roman" w:hAnsi="Times New Roman" w:cs="Times New Roman"/>
          <w:noProof w:val="0"/>
          <w:sz w:val="24"/>
          <w:szCs w:val="24"/>
          <w:lang w:val="en-US"/>
        </w:rPr>
        <w:t>Vaka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Đurovića</w:t>
      </w:r>
      <w:proofErr w:type="spellEnd"/>
      <w:r w:rsidRPr="006845F0">
        <w:rPr>
          <w:rFonts w:ascii="Times New Roman" w:eastAsia="Times New Roman" w:hAnsi="Times New Roman" w:cs="Times New Roman"/>
          <w:noProof w:val="0"/>
          <w:sz w:val="24"/>
          <w:szCs w:val="24"/>
          <w:lang w:val="en-US"/>
        </w:rPr>
        <w:t xml:space="preserve"> Street, which will replace the existing Ø 125 mm pipeline.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capacity of the planned pipeline is 40–55 l/s under acceptable pressure losses and rational flow velocities.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water demand is estimated at a total sanitary water requirement of 14.85 l/s, calculated as the hourly maximum, which is fully accommodated by the planned pipeline.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required fire-fighting water quantity of 50 l/s is also fully supported by the planned pipeline. Additional fire protection measures (sprinkler systems, etc.) will be addressed in a separate study in case water is used for firefighting purposes.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For the construction of the water supply network, PEHD (PE 100) pipes rated for 10 bar operating pressure are planned, while cast iron fittings and valves are envisaged for junctions.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design of street and block pipelines, as well as building connections, should be based on detailed connection conditions to be obtained by future investors from the Public Utility Company “Water Supply and Sewerage” Podgorica, which should also be prescribed through urban-technical conditions issued by the competent municipal or state authority.</w:t>
      </w:r>
    </w:p>
    <w:p w:rsidR="006845F0" w:rsidRPr="006845F0" w:rsidRDefault="006845F0" w:rsidP="006845F0">
      <w:pPr>
        <w:spacing w:before="100" w:beforeAutospacing="1" w:after="100" w:afterAutospacing="1" w:line="240" w:lineRule="auto"/>
        <w:outlineLvl w:val="2"/>
        <w:rPr>
          <w:rFonts w:ascii="Times New Roman" w:eastAsia="Times New Roman" w:hAnsi="Times New Roman" w:cs="Times New Roman"/>
          <w:b/>
          <w:bCs/>
          <w:noProof w:val="0"/>
          <w:sz w:val="27"/>
          <w:szCs w:val="27"/>
          <w:lang w:val="en-US"/>
        </w:rPr>
      </w:pPr>
      <w:r w:rsidRPr="006845F0">
        <w:rPr>
          <w:rFonts w:ascii="Times New Roman" w:eastAsia="Times New Roman" w:hAnsi="Times New Roman" w:cs="Times New Roman"/>
          <w:b/>
          <w:bCs/>
          <w:noProof w:val="0"/>
          <w:sz w:val="27"/>
          <w:szCs w:val="27"/>
          <w:lang w:val="en-US"/>
        </w:rPr>
        <w:t>Sewerage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The existing sanitary sewer collector along the extension of </w:t>
      </w:r>
      <w:proofErr w:type="spellStart"/>
      <w:r w:rsidRPr="006845F0">
        <w:rPr>
          <w:rFonts w:ascii="Times New Roman" w:eastAsia="Times New Roman" w:hAnsi="Times New Roman" w:cs="Times New Roman"/>
          <w:noProof w:val="0"/>
          <w:sz w:val="24"/>
          <w:szCs w:val="24"/>
          <w:lang w:val="en-US"/>
        </w:rPr>
        <w:t>Stanka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Dragojevića</w:t>
      </w:r>
      <w:proofErr w:type="spellEnd"/>
      <w:r w:rsidRPr="006845F0">
        <w:rPr>
          <w:rFonts w:ascii="Times New Roman" w:eastAsia="Times New Roman" w:hAnsi="Times New Roman" w:cs="Times New Roman"/>
          <w:noProof w:val="0"/>
          <w:sz w:val="24"/>
          <w:szCs w:val="24"/>
          <w:lang w:val="en-US"/>
        </w:rPr>
        <w:t xml:space="preserve"> Street and </w:t>
      </w:r>
      <w:proofErr w:type="spellStart"/>
      <w:r w:rsidRPr="006845F0">
        <w:rPr>
          <w:rFonts w:ascii="Times New Roman" w:eastAsia="Times New Roman" w:hAnsi="Times New Roman" w:cs="Times New Roman"/>
          <w:noProof w:val="0"/>
          <w:sz w:val="24"/>
          <w:szCs w:val="24"/>
          <w:lang w:val="en-US"/>
        </w:rPr>
        <w:t>Vaka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Đurovića</w:t>
      </w:r>
      <w:proofErr w:type="spellEnd"/>
      <w:r w:rsidRPr="006845F0">
        <w:rPr>
          <w:rFonts w:ascii="Times New Roman" w:eastAsia="Times New Roman" w:hAnsi="Times New Roman" w:cs="Times New Roman"/>
          <w:noProof w:val="0"/>
          <w:sz w:val="24"/>
          <w:szCs w:val="24"/>
          <w:lang w:val="en-US"/>
        </w:rPr>
        <w:t xml:space="preserve"> Street directs wastewater in that direction; therefore, a new Ø 300 mm collector is planned along the perpendicular road leading toward the future hotel and roundabout, from where it branches left and right with Ø 250 mm collectors.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selected diameters of Ø 300 mm and Ø 250 mm, with gradients not less than 0.5%, can fully satisfy the wastewater disposal requirements of the planned buildings within the UP zone.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For part of the underground levels, gravity drainage of wastewater from sanitary facilities will not be possible, and wastewater disposal will therefore require pumping stations.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lastRenderedPageBreak/>
        <w:t>The sanitary sewer collectors are planned to be constructed from PVC pipes of a class depending on burial depth. Inspection chambers with cast-iron covers and standard ladders are planned at connection points and at intervals of 50 m.</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collectors and future building connections should be designed in accordance with connection conditions obtained from the Public Utility Company “Water Supply and Sewerage” Podgorica, an obligation that should also be specified in the urban-technical requirements.</w:t>
      </w:r>
    </w:p>
    <w:p w:rsidR="006845F0" w:rsidRPr="006845F0" w:rsidRDefault="006845F0" w:rsidP="006845F0">
      <w:pPr>
        <w:spacing w:before="100" w:beforeAutospacing="1" w:after="100" w:afterAutospacing="1" w:line="240" w:lineRule="auto"/>
        <w:outlineLvl w:val="2"/>
        <w:rPr>
          <w:rFonts w:ascii="Times New Roman" w:eastAsia="Times New Roman" w:hAnsi="Times New Roman" w:cs="Times New Roman"/>
          <w:b/>
          <w:bCs/>
          <w:noProof w:val="0"/>
          <w:sz w:val="27"/>
          <w:szCs w:val="27"/>
          <w:lang w:val="en-US"/>
        </w:rPr>
      </w:pPr>
      <w:r w:rsidRPr="006845F0">
        <w:rPr>
          <w:rFonts w:ascii="Times New Roman" w:eastAsia="Times New Roman" w:hAnsi="Times New Roman" w:cs="Times New Roman"/>
          <w:b/>
          <w:bCs/>
          <w:noProof w:val="0"/>
          <w:sz w:val="27"/>
          <w:szCs w:val="27"/>
          <w:lang w:val="en-US"/>
        </w:rPr>
        <w:t>Stormwater Drainage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relatively large area covered by the UP, as well as the surfaces occupied by roads, sidewalks and commercial buildings, require special attention regarding stormwater collection and drainage.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A particular advantage is the proximity of the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River, into which collected stormwater can be discharged.</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Along part of </w:t>
      </w:r>
      <w:proofErr w:type="spellStart"/>
      <w:r w:rsidRPr="006845F0">
        <w:rPr>
          <w:rFonts w:ascii="Times New Roman" w:eastAsia="Times New Roman" w:hAnsi="Times New Roman" w:cs="Times New Roman"/>
          <w:noProof w:val="0"/>
          <w:sz w:val="24"/>
          <w:szCs w:val="24"/>
          <w:lang w:val="en-US"/>
        </w:rPr>
        <w:t>Vaka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Đurovića</w:t>
      </w:r>
      <w:proofErr w:type="spellEnd"/>
      <w:r w:rsidRPr="006845F0">
        <w:rPr>
          <w:rFonts w:ascii="Times New Roman" w:eastAsia="Times New Roman" w:hAnsi="Times New Roman" w:cs="Times New Roman"/>
          <w:noProof w:val="0"/>
          <w:sz w:val="24"/>
          <w:szCs w:val="24"/>
          <w:lang w:val="en-US"/>
        </w:rPr>
        <w:t xml:space="preserve"> Street, construction of a Ø 1000 mm collector is planned, with a dedicated outlet into the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River.</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The planned collector is intended to receive stormwater from the neighboring DUP area to the east (“Nova </w:t>
      </w:r>
      <w:proofErr w:type="spellStart"/>
      <w:r w:rsidRPr="006845F0">
        <w:rPr>
          <w:rFonts w:ascii="Times New Roman" w:eastAsia="Times New Roman" w:hAnsi="Times New Roman" w:cs="Times New Roman"/>
          <w:noProof w:val="0"/>
          <w:sz w:val="24"/>
          <w:szCs w:val="24"/>
          <w:lang w:val="en-US"/>
        </w:rPr>
        <w:t>Varoš</w:t>
      </w:r>
      <w:proofErr w:type="spellEnd"/>
      <w:r w:rsidRPr="006845F0">
        <w:rPr>
          <w:rFonts w:ascii="Times New Roman" w:eastAsia="Times New Roman" w:hAnsi="Times New Roman" w:cs="Times New Roman"/>
          <w:noProof w:val="0"/>
          <w:sz w:val="24"/>
          <w:szCs w:val="24"/>
          <w:lang w:val="en-US"/>
        </w:rPr>
        <w:t xml:space="preserve"> 2”), for which project documentation has already envisaged a Ø 800 mm collector.</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outlet of the Ø 1000 mm collector is planned downstream from the existing Ø 500 mm collector, with special outlet arrangements and discharge below low-water level.</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For drainage of stormwater from the internal road extending from the future roundabout to </w:t>
      </w:r>
      <w:proofErr w:type="spellStart"/>
      <w:r w:rsidRPr="006845F0">
        <w:rPr>
          <w:rFonts w:ascii="Times New Roman" w:eastAsia="Times New Roman" w:hAnsi="Times New Roman" w:cs="Times New Roman"/>
          <w:noProof w:val="0"/>
          <w:sz w:val="24"/>
          <w:szCs w:val="24"/>
          <w:lang w:val="en-US"/>
        </w:rPr>
        <w:t>Stanka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Dragojevića</w:t>
      </w:r>
      <w:proofErr w:type="spellEnd"/>
      <w:r w:rsidRPr="006845F0">
        <w:rPr>
          <w:rFonts w:ascii="Times New Roman" w:eastAsia="Times New Roman" w:hAnsi="Times New Roman" w:cs="Times New Roman"/>
          <w:noProof w:val="0"/>
          <w:sz w:val="24"/>
          <w:szCs w:val="24"/>
          <w:lang w:val="en-US"/>
        </w:rPr>
        <w:t xml:space="preserve"> Street, a Ø 400 mm collector is planned, connected to the existing collector.</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Drainage from the road parallel to the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riverbed is planned through enclosed Ø 300 mm channels with a dedicated outlet into the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River.</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planned street drainage network should be dimensioned based on rainfall intensity of 127 l/s/ha over a duration of 15 minutes, assuming a runoff coefficient of 0.5–0.7 due to the large roof areas of the planned buildings.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 separate study should address stormwater drainage from these buildings considering their significance within the UP area.</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Stormwater drainage channels are planned to be constructed from PVC pipes according to burial depth and reinforced concrete pipes for larger diameters, with an adequate number of catch basins and inspection chambers fitted with single- and double-piece grates.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For roads with two-sided cross slopes, drainage from the opposite side should be solved by constructing transverse DN 250 mm channels with single-piece grates.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lastRenderedPageBreak/>
        <w:t xml:space="preserve">Detailed design requirements should be established based on the </w:t>
      </w:r>
      <w:proofErr w:type="spellStart"/>
      <w:r w:rsidRPr="006845F0">
        <w:rPr>
          <w:rFonts w:ascii="Times New Roman" w:eastAsia="Times New Roman" w:hAnsi="Times New Roman" w:cs="Times New Roman"/>
          <w:noProof w:val="0"/>
          <w:sz w:val="24"/>
          <w:szCs w:val="24"/>
          <w:lang w:val="en-US"/>
        </w:rPr>
        <w:t>cadastre</w:t>
      </w:r>
      <w:proofErr w:type="spellEnd"/>
      <w:r w:rsidRPr="006845F0">
        <w:rPr>
          <w:rFonts w:ascii="Times New Roman" w:eastAsia="Times New Roman" w:hAnsi="Times New Roman" w:cs="Times New Roman"/>
          <w:noProof w:val="0"/>
          <w:sz w:val="24"/>
          <w:szCs w:val="24"/>
          <w:lang w:val="en-US"/>
        </w:rPr>
        <w:t xml:space="preserve"> of existing installations, connection conditions from the Public Utility Company “Water Supply and Sewerage” Podgorica, and the general and conceptual stormwater drainage project, as specified in the urban-technical conditions issued by the competent municipal authority.</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According to the requirements of this plan and the competent authority.</w:t>
      </w:r>
    </w:p>
    <w:p w:rsidR="006845F0" w:rsidRPr="006845F0" w:rsidRDefault="006845F0" w:rsidP="006845F0">
      <w:pPr>
        <w:spacing w:after="0"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pict>
          <v:rect id="_x0000_i1026" style="width:0;height:1.5pt" o:hralign="center" o:hrstd="t" o:hr="t" fillcolor="#a0a0a0" stroked="f"/>
        </w:pict>
      </w:r>
    </w:p>
    <w:p w:rsidR="006845F0" w:rsidRPr="006845F0" w:rsidRDefault="006845F0" w:rsidP="006845F0">
      <w:pPr>
        <w:spacing w:before="100" w:beforeAutospacing="1" w:after="100" w:afterAutospacing="1" w:line="240" w:lineRule="auto"/>
        <w:outlineLvl w:val="1"/>
        <w:rPr>
          <w:rFonts w:ascii="Times New Roman" w:eastAsia="Times New Roman" w:hAnsi="Times New Roman" w:cs="Times New Roman"/>
          <w:b/>
          <w:bCs/>
          <w:noProof w:val="0"/>
          <w:sz w:val="36"/>
          <w:szCs w:val="36"/>
          <w:lang w:val="en-US"/>
        </w:rPr>
      </w:pPr>
      <w:r w:rsidRPr="006845F0">
        <w:rPr>
          <w:rFonts w:ascii="Times New Roman" w:eastAsia="Times New Roman" w:hAnsi="Times New Roman" w:cs="Times New Roman"/>
          <w:b/>
          <w:bCs/>
          <w:noProof w:val="0"/>
          <w:sz w:val="36"/>
          <w:szCs w:val="36"/>
          <w:lang w:val="en-US"/>
        </w:rPr>
        <w:t>14.3 Conditions for Connection to Transport Infrastructure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The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Barracks area is bordered by primary urban roads: Ivan </w:t>
      </w:r>
      <w:proofErr w:type="spellStart"/>
      <w:r w:rsidRPr="006845F0">
        <w:rPr>
          <w:rFonts w:ascii="Times New Roman" w:eastAsia="Times New Roman" w:hAnsi="Times New Roman" w:cs="Times New Roman"/>
          <w:noProof w:val="0"/>
          <w:sz w:val="24"/>
          <w:szCs w:val="24"/>
          <w:lang w:val="en-US"/>
        </w:rPr>
        <w:t>Crnojević</w:t>
      </w:r>
      <w:proofErr w:type="spellEnd"/>
      <w:r w:rsidRPr="006845F0">
        <w:rPr>
          <w:rFonts w:ascii="Times New Roman" w:eastAsia="Times New Roman" w:hAnsi="Times New Roman" w:cs="Times New Roman"/>
          <w:noProof w:val="0"/>
          <w:sz w:val="24"/>
          <w:szCs w:val="24"/>
          <w:lang w:val="en-US"/>
        </w:rPr>
        <w:t xml:space="preserve"> Boulevard and </w:t>
      </w:r>
      <w:proofErr w:type="spellStart"/>
      <w:r w:rsidRPr="006845F0">
        <w:rPr>
          <w:rFonts w:ascii="Times New Roman" w:eastAsia="Times New Roman" w:hAnsi="Times New Roman" w:cs="Times New Roman"/>
          <w:noProof w:val="0"/>
          <w:sz w:val="24"/>
          <w:szCs w:val="24"/>
          <w:lang w:val="en-US"/>
        </w:rPr>
        <w:t>Vaka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Đurović</w:t>
      </w:r>
      <w:proofErr w:type="spellEnd"/>
      <w:r w:rsidRPr="006845F0">
        <w:rPr>
          <w:rFonts w:ascii="Times New Roman" w:eastAsia="Times New Roman" w:hAnsi="Times New Roman" w:cs="Times New Roman"/>
          <w:noProof w:val="0"/>
          <w:sz w:val="24"/>
          <w:szCs w:val="24"/>
          <w:lang w:val="en-US"/>
        </w:rPr>
        <w:t xml:space="preserve"> Boulevard.</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The completion of </w:t>
      </w:r>
      <w:proofErr w:type="spellStart"/>
      <w:r w:rsidRPr="006845F0">
        <w:rPr>
          <w:rFonts w:ascii="Times New Roman" w:eastAsia="Times New Roman" w:hAnsi="Times New Roman" w:cs="Times New Roman"/>
          <w:noProof w:val="0"/>
          <w:sz w:val="24"/>
          <w:szCs w:val="24"/>
          <w:lang w:val="en-US"/>
        </w:rPr>
        <w:t>Vaka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Đurović</w:t>
      </w:r>
      <w:proofErr w:type="spellEnd"/>
      <w:r w:rsidRPr="006845F0">
        <w:rPr>
          <w:rFonts w:ascii="Times New Roman" w:eastAsia="Times New Roman" w:hAnsi="Times New Roman" w:cs="Times New Roman"/>
          <w:noProof w:val="0"/>
          <w:sz w:val="24"/>
          <w:szCs w:val="24"/>
          <w:lang w:val="en-US"/>
        </w:rPr>
        <w:t xml:space="preserve"> Boulevard up to the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Bridge in its full profile is planned.</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Access to parcels will be provided from </w:t>
      </w:r>
      <w:proofErr w:type="spellStart"/>
      <w:r w:rsidRPr="006845F0">
        <w:rPr>
          <w:rFonts w:ascii="Times New Roman" w:eastAsia="Times New Roman" w:hAnsi="Times New Roman" w:cs="Times New Roman"/>
          <w:noProof w:val="0"/>
          <w:sz w:val="24"/>
          <w:szCs w:val="24"/>
          <w:lang w:val="en-US"/>
        </w:rPr>
        <w:t>Vaka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Đurović</w:t>
      </w:r>
      <w:proofErr w:type="spellEnd"/>
      <w:r w:rsidRPr="006845F0">
        <w:rPr>
          <w:rFonts w:ascii="Times New Roman" w:eastAsia="Times New Roman" w:hAnsi="Times New Roman" w:cs="Times New Roman"/>
          <w:noProof w:val="0"/>
          <w:sz w:val="24"/>
          <w:szCs w:val="24"/>
          <w:lang w:val="en-US"/>
        </w:rPr>
        <w:t xml:space="preserve"> Boulevard at grade level for the internal service road and via a grade-separated entrance to multifunctional garages.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Internal roads are planned with a carriageway width of 6.0 m. Parking may be organized along these roads.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number of parking spaces in open parking lots and garages must satisfy parking demand in accordance with established standards.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At least 5% of public parking spaces must be reserved for persons with disabilities in accordance with applicable regulations.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Open parking areas may use perpendicular, parallel, angled parking systems, or a combination thereof.</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Open parking lots should be surfaced with asphalt concrete or prefabricated concrete or grass-concrete elements, depending on the landscape concept. The recommended solution is grass-concrete paving with trees planted alongside or between parking spaces.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Landscape measures should be implemented within parking areas (partial paving, several smaller pergola-covered spaces, appropriate greenery, etc.) to mitigate the negative visual impact of extensive paved surfaces.</w:t>
      </w:r>
    </w:p>
    <w:p w:rsidR="006845F0" w:rsidRPr="006845F0" w:rsidRDefault="006845F0" w:rsidP="006845F0">
      <w:pPr>
        <w:spacing w:before="100" w:beforeAutospacing="1" w:after="100" w:afterAutospacing="1" w:line="240" w:lineRule="auto"/>
        <w:outlineLvl w:val="2"/>
        <w:rPr>
          <w:rFonts w:ascii="Times New Roman" w:eastAsia="Times New Roman" w:hAnsi="Times New Roman" w:cs="Times New Roman"/>
          <w:b/>
          <w:bCs/>
          <w:noProof w:val="0"/>
          <w:sz w:val="27"/>
          <w:szCs w:val="27"/>
          <w:lang w:val="en-US"/>
        </w:rPr>
      </w:pPr>
      <w:r w:rsidRPr="006845F0">
        <w:rPr>
          <w:rFonts w:ascii="Times New Roman" w:eastAsia="Times New Roman" w:hAnsi="Times New Roman" w:cs="Times New Roman"/>
          <w:b/>
          <w:bCs/>
          <w:noProof w:val="0"/>
          <w:sz w:val="27"/>
          <w:szCs w:val="27"/>
          <w:lang w:val="en-US"/>
        </w:rPr>
        <w:t>Conditions for Garage Construction</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General construction and placement requirements for garages include:</w:t>
      </w:r>
    </w:p>
    <w:p w:rsidR="006845F0" w:rsidRPr="006845F0" w:rsidRDefault="006845F0" w:rsidP="006845F0">
      <w:pPr>
        <w:numPr>
          <w:ilvl w:val="0"/>
          <w:numId w:val="4"/>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garage must have access from a lower- and/or higher-order road.</w:t>
      </w:r>
    </w:p>
    <w:p w:rsidR="006845F0" w:rsidRPr="006845F0" w:rsidRDefault="006845F0" w:rsidP="006845F0">
      <w:pPr>
        <w:numPr>
          <w:ilvl w:val="0"/>
          <w:numId w:val="4"/>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lastRenderedPageBreak/>
        <w:t>If a garage is planned within a building or at a site, standards and regulations governing garage design must be respected (width of one-way and two-way straight or circular ramps, ramp slope, number of ramps depending on garage size, clear garage height, parking aisle width, parking space dimensions in relation to structural elements, etc.).</w:t>
      </w:r>
    </w:p>
    <w:p w:rsidR="006845F0" w:rsidRPr="006845F0" w:rsidRDefault="006845F0" w:rsidP="006845F0">
      <w:pPr>
        <w:numPr>
          <w:ilvl w:val="0"/>
          <w:numId w:val="4"/>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Within the building or a separate annex, business premises related to vehicle maintenance may be planned (small repair workshop, tire service, car wash, spare parts shop), depending on site capabilities, analyses, demand and economic justification. Separate vehicular access may be provided.</w:t>
      </w:r>
    </w:p>
    <w:p w:rsidR="006845F0" w:rsidRPr="006845F0" w:rsidRDefault="006845F0" w:rsidP="006845F0">
      <w:pPr>
        <w:numPr>
          <w:ilvl w:val="0"/>
          <w:numId w:val="4"/>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Near the entrance area, bicycle parking, Category A vehicle parking, and garage administration facilities (offices and supporting spaces) may be planned.</w:t>
      </w:r>
    </w:p>
    <w:p w:rsidR="006845F0" w:rsidRPr="006845F0" w:rsidRDefault="006845F0" w:rsidP="006845F0">
      <w:pPr>
        <w:numPr>
          <w:ilvl w:val="0"/>
          <w:numId w:val="4"/>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Vehicular access (garage entrance and exit) should be designed according to existing traffic flows and preferably connected to a service road. The exact location of the garage connection to public roads will be defined during technical design documentation preparation, without creating a separate parcel for access. It is recommended that the entrance and exit be combined under a single control point.</w:t>
      </w:r>
    </w:p>
    <w:p w:rsidR="006845F0" w:rsidRPr="006845F0" w:rsidRDefault="006845F0" w:rsidP="006845F0">
      <w:pPr>
        <w:numPr>
          <w:ilvl w:val="0"/>
          <w:numId w:val="4"/>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Vertical pedestrian circulation should consist of stairways and/or elevators with access to the roof terrace. The garage roof may be used as parking or as a landscaped roof terrace. Vertical greening of façades is recommended. Fire escape stairways should be provided in accordance with fire safety regulations and garage requirements.</w:t>
      </w:r>
    </w:p>
    <w:p w:rsidR="006845F0" w:rsidRPr="006845F0" w:rsidRDefault="006845F0" w:rsidP="006845F0">
      <w:pPr>
        <w:numPr>
          <w:ilvl w:val="0"/>
          <w:numId w:val="4"/>
        </w:num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During design and construction, compliance with the Rulebook on Technical Requirements for Fire and Explosion Protection of Passenger Car Garages (Official Gazette of Montenegro No. 13/07 and 9/12) is mandatory.</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Possible locations for waste container niches should be planned. The exact location and number of containers for separate waste collection will be determined through the Main Traffic Design based on current and future needs, accessibility for waste collection vehicles, proximity to buildings, traffic safety requirements, and coordination with competent local authorities of the Capital City of Podgorica.</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Waste disposal should be resolved through the installation of underground containers.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pedestrian circulation system consists of sidewalks along roads, paved areas in front of and between buildings, and landscaped pedestrian paths.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Main Pedestrian Design must ensure unobstructed movement for persons with disabilities and access to all public buildings.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 ramp overcoming a height difference of up to 120 cm may have a maximum slope of 1:20 (5%), while for height differences up to 76 cm the maximum permissible slope is 1:12 (8.3%).</w:t>
      </w:r>
    </w:p>
    <w:p w:rsidR="006845F0" w:rsidRPr="006845F0" w:rsidRDefault="006845F0" w:rsidP="006845F0">
      <w:pPr>
        <w:spacing w:before="100" w:beforeAutospacing="1" w:after="100" w:afterAutospacing="1" w:line="240" w:lineRule="auto"/>
        <w:outlineLvl w:val="2"/>
        <w:rPr>
          <w:rFonts w:ascii="Times New Roman" w:eastAsia="Times New Roman" w:hAnsi="Times New Roman" w:cs="Times New Roman"/>
          <w:b/>
          <w:bCs/>
          <w:noProof w:val="0"/>
          <w:sz w:val="27"/>
          <w:szCs w:val="27"/>
          <w:lang w:val="en-US"/>
        </w:rPr>
      </w:pPr>
      <w:r w:rsidRPr="006845F0">
        <w:rPr>
          <w:rFonts w:ascii="Times New Roman" w:eastAsia="Times New Roman" w:hAnsi="Times New Roman" w:cs="Times New Roman"/>
          <w:b/>
          <w:bCs/>
          <w:noProof w:val="0"/>
          <w:sz w:val="27"/>
          <w:szCs w:val="27"/>
          <w:lang w:val="en-US"/>
        </w:rPr>
        <w:t>Fire Access Roads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For all areas used as fire access routes, the design documentation must provide a 6 m wide corridor in the cross-section for the passage of special vehicles (fire engines, ambulances, etc.), and this must be considered when dimensioning pavement structures.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lastRenderedPageBreak/>
        <w:t>According to the requirements of this plan and the competent authority.</w:t>
      </w:r>
    </w:p>
    <w:p w:rsidR="006845F0" w:rsidRPr="006845F0" w:rsidRDefault="006845F0" w:rsidP="006845F0">
      <w:pPr>
        <w:spacing w:after="0"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pict>
          <v:rect id="_x0000_i1027" style="width:0;height:1.5pt" o:hralign="center" o:hrstd="t" o:hr="t" fillcolor="#a0a0a0" stroked="f"/>
        </w:pict>
      </w:r>
    </w:p>
    <w:p w:rsidR="006845F0" w:rsidRPr="006845F0" w:rsidRDefault="006845F0" w:rsidP="006845F0">
      <w:pPr>
        <w:spacing w:before="100" w:beforeAutospacing="1" w:after="100" w:afterAutospacing="1" w:line="240" w:lineRule="auto"/>
        <w:outlineLvl w:val="1"/>
        <w:rPr>
          <w:rFonts w:ascii="Times New Roman" w:eastAsia="Times New Roman" w:hAnsi="Times New Roman" w:cs="Times New Roman"/>
          <w:b/>
          <w:bCs/>
          <w:noProof w:val="0"/>
          <w:sz w:val="36"/>
          <w:szCs w:val="36"/>
          <w:lang w:val="en-US"/>
        </w:rPr>
      </w:pPr>
      <w:r w:rsidRPr="006845F0">
        <w:rPr>
          <w:rFonts w:ascii="Times New Roman" w:eastAsia="Times New Roman" w:hAnsi="Times New Roman" w:cs="Times New Roman"/>
          <w:b/>
          <w:bCs/>
          <w:noProof w:val="0"/>
          <w:sz w:val="36"/>
          <w:szCs w:val="36"/>
          <w:lang w:val="en-US"/>
        </w:rPr>
        <w:t>14.4 Conditions for Connection to Telecommunications Infrastructure</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Along the boundary area of UP “</w:t>
      </w:r>
      <w:proofErr w:type="spellStart"/>
      <w:r w:rsidRPr="006845F0">
        <w:rPr>
          <w:rFonts w:ascii="Times New Roman" w:eastAsia="Times New Roman" w:hAnsi="Times New Roman" w:cs="Times New Roman"/>
          <w:noProof w:val="0"/>
          <w:sz w:val="24"/>
          <w:szCs w:val="24"/>
          <w:lang w:val="en-US"/>
        </w:rPr>
        <w:t>Kasarna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Morača</w:t>
      </w:r>
      <w:proofErr w:type="spellEnd"/>
      <w:r w:rsidRPr="006845F0">
        <w:rPr>
          <w:rFonts w:ascii="Times New Roman" w:eastAsia="Times New Roman" w:hAnsi="Times New Roman" w:cs="Times New Roman"/>
          <w:noProof w:val="0"/>
          <w:sz w:val="24"/>
          <w:szCs w:val="24"/>
          <w:lang w:val="en-US"/>
        </w:rPr>
        <w:t xml:space="preserve">”, telecommunications duct infrastructure already exists along </w:t>
      </w:r>
      <w:proofErr w:type="spellStart"/>
      <w:r w:rsidRPr="006845F0">
        <w:rPr>
          <w:rFonts w:ascii="Times New Roman" w:eastAsia="Times New Roman" w:hAnsi="Times New Roman" w:cs="Times New Roman"/>
          <w:noProof w:val="0"/>
          <w:sz w:val="24"/>
          <w:szCs w:val="24"/>
          <w:lang w:val="en-US"/>
        </w:rPr>
        <w:t>Stanka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Dragojevića</w:t>
      </w:r>
      <w:proofErr w:type="spellEnd"/>
      <w:r w:rsidRPr="006845F0">
        <w:rPr>
          <w:rFonts w:ascii="Times New Roman" w:eastAsia="Times New Roman" w:hAnsi="Times New Roman" w:cs="Times New Roman"/>
          <w:noProof w:val="0"/>
          <w:sz w:val="24"/>
          <w:szCs w:val="24"/>
          <w:lang w:val="en-US"/>
        </w:rPr>
        <w:t xml:space="preserve"> Street and </w:t>
      </w:r>
      <w:proofErr w:type="spellStart"/>
      <w:r w:rsidRPr="006845F0">
        <w:rPr>
          <w:rFonts w:ascii="Times New Roman" w:eastAsia="Times New Roman" w:hAnsi="Times New Roman" w:cs="Times New Roman"/>
          <w:noProof w:val="0"/>
          <w:sz w:val="24"/>
          <w:szCs w:val="24"/>
          <w:lang w:val="en-US"/>
        </w:rPr>
        <w:t>Vaka</w:t>
      </w:r>
      <w:proofErr w:type="spellEnd"/>
      <w:r w:rsidRPr="006845F0">
        <w:rPr>
          <w:rFonts w:ascii="Times New Roman" w:eastAsia="Times New Roman" w:hAnsi="Times New Roman" w:cs="Times New Roman"/>
          <w:noProof w:val="0"/>
          <w:sz w:val="24"/>
          <w:szCs w:val="24"/>
          <w:lang w:val="en-US"/>
        </w:rPr>
        <w:t xml:space="preserve"> </w:t>
      </w:r>
      <w:proofErr w:type="spellStart"/>
      <w:r w:rsidRPr="006845F0">
        <w:rPr>
          <w:rFonts w:ascii="Times New Roman" w:eastAsia="Times New Roman" w:hAnsi="Times New Roman" w:cs="Times New Roman"/>
          <w:noProof w:val="0"/>
          <w:sz w:val="24"/>
          <w:szCs w:val="24"/>
          <w:lang w:val="en-US"/>
        </w:rPr>
        <w:t>Đurovića</w:t>
      </w:r>
      <w:proofErr w:type="spellEnd"/>
      <w:r w:rsidRPr="006845F0">
        <w:rPr>
          <w:rFonts w:ascii="Times New Roman" w:eastAsia="Times New Roman" w:hAnsi="Times New Roman" w:cs="Times New Roman"/>
          <w:noProof w:val="0"/>
          <w:sz w:val="24"/>
          <w:szCs w:val="24"/>
          <w:lang w:val="en-US"/>
        </w:rPr>
        <w:t xml:space="preserve"> Street.</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In the adjacent Nova </w:t>
      </w:r>
      <w:proofErr w:type="spellStart"/>
      <w:r w:rsidRPr="006845F0">
        <w:rPr>
          <w:rFonts w:ascii="Times New Roman" w:eastAsia="Times New Roman" w:hAnsi="Times New Roman" w:cs="Times New Roman"/>
          <w:noProof w:val="0"/>
          <w:sz w:val="24"/>
          <w:szCs w:val="24"/>
          <w:lang w:val="en-US"/>
        </w:rPr>
        <w:t>Varoš</w:t>
      </w:r>
      <w:proofErr w:type="spellEnd"/>
      <w:r w:rsidRPr="006845F0">
        <w:rPr>
          <w:rFonts w:ascii="Times New Roman" w:eastAsia="Times New Roman" w:hAnsi="Times New Roman" w:cs="Times New Roman"/>
          <w:noProof w:val="0"/>
          <w:sz w:val="24"/>
          <w:szCs w:val="24"/>
          <w:lang w:val="en-US"/>
        </w:rPr>
        <w:t xml:space="preserve"> zone there is a switching node – the RSS Municipality telecommunications exchange – serving subscribers in this area as part of the Podgorica Telecommunications Center.</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 xml:space="preserve">Considering modern standards for telecommunications services, this telecommunications node is well positioned relative to the </w:t>
      </w:r>
      <w:proofErr w:type="gramStart"/>
      <w:r w:rsidRPr="006845F0">
        <w:rPr>
          <w:rFonts w:ascii="Times New Roman" w:eastAsia="Times New Roman" w:hAnsi="Times New Roman" w:cs="Times New Roman"/>
          <w:noProof w:val="0"/>
          <w:sz w:val="24"/>
          <w:szCs w:val="24"/>
          <w:lang w:val="en-US"/>
        </w:rPr>
        <w:t>observed UP</w:t>
      </w:r>
      <w:proofErr w:type="gramEnd"/>
      <w:r w:rsidRPr="006845F0">
        <w:rPr>
          <w:rFonts w:ascii="Times New Roman" w:eastAsia="Times New Roman" w:hAnsi="Times New Roman" w:cs="Times New Roman"/>
          <w:noProof w:val="0"/>
          <w:sz w:val="24"/>
          <w:szCs w:val="24"/>
          <w:lang w:val="en-US"/>
        </w:rPr>
        <w:t xml:space="preserve"> area and can provide services to both existing and future subscribers within the UP zone, considering the subscriber loop length (distance from the telecommunications exchange to subscribers).</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The main challenge for implementing connections within the zone is the absence of telecommunications ducts inside the area itself.</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Within the zone, construction of telecommunications duct infrastructure is planned wherever necessary in order to enable the installation of new telecommunications cables and create conditions for connecting new subscribers to the planned telecommunications network.</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Wherever possible, the route of the planned telecommunications ducts should be integrated into sidewalks or green areas. If telecommunications manholes are installed within roadways or parking areas, heavy-duty covers and reinforced chambers would be required, making the solution economically inefficient.</w:t>
      </w:r>
    </w:p>
    <w:p w:rsidR="006845F0" w:rsidRPr="006845F0" w:rsidRDefault="006845F0" w:rsidP="006845F0">
      <w:pPr>
        <w:spacing w:before="100" w:beforeAutospacing="1" w:after="100" w:afterAutospacing="1" w:line="240" w:lineRule="auto"/>
        <w:rPr>
          <w:rFonts w:ascii="Times New Roman" w:eastAsia="Times New Roman" w:hAnsi="Times New Roman" w:cs="Times New Roman"/>
          <w:noProof w:val="0"/>
          <w:sz w:val="24"/>
          <w:szCs w:val="24"/>
          <w:lang w:val="en-US"/>
        </w:rPr>
      </w:pPr>
      <w:r w:rsidRPr="006845F0">
        <w:rPr>
          <w:rFonts w:ascii="Times New Roman" w:eastAsia="Times New Roman" w:hAnsi="Times New Roman" w:cs="Times New Roman"/>
          <w:noProof w:val="0"/>
          <w:sz w:val="24"/>
          <w:szCs w:val="24"/>
          <w:lang w:val="en-US"/>
        </w:rPr>
        <w:t>According to the requirements of this plan and the competent authority.</w:t>
      </w:r>
    </w:p>
    <w:p w:rsidR="00D400D0" w:rsidRDefault="00D400D0"/>
    <w:sectPr w:rsidR="00D40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E5506"/>
    <w:multiLevelType w:val="multilevel"/>
    <w:tmpl w:val="385C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7136C"/>
    <w:multiLevelType w:val="multilevel"/>
    <w:tmpl w:val="983C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76747"/>
    <w:multiLevelType w:val="multilevel"/>
    <w:tmpl w:val="CB50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6272B2"/>
    <w:multiLevelType w:val="multilevel"/>
    <w:tmpl w:val="BCC8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5F0"/>
    <w:rsid w:val="006845F0"/>
    <w:rsid w:val="00D400D0"/>
    <w:rsid w:val="00D7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D546"/>
  <w15:chartTrackingRefBased/>
  <w15:docId w15:val="{79FA1460-DE04-48B8-8FD1-D813DC99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sr-Cyrl-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30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Jeknic</dc:creator>
  <cp:keywords/>
  <dc:description/>
  <cp:lastModifiedBy>Ivana Jeknic</cp:lastModifiedBy>
  <cp:revision>1</cp:revision>
  <dcterms:created xsi:type="dcterms:W3CDTF">2026-06-15T09:42:00Z</dcterms:created>
  <dcterms:modified xsi:type="dcterms:W3CDTF">2026-06-15T09:43:00Z</dcterms:modified>
</cp:coreProperties>
</file>