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587"/>
        <w:gridCol w:w="8886"/>
      </w:tblGrid>
      <w:tr w:rsidR="007E7580" w:rsidTr="00F61214">
        <w:trPr>
          <w:trHeight w:val="2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10"/>
              <w:ind w:left="122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USLOVI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PRIKLJUČENJE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INFRASTRUKTURU</w:t>
            </w:r>
          </w:p>
        </w:tc>
      </w:tr>
      <w:tr w:rsidR="007E7580" w:rsidTr="00F61214">
        <w:trPr>
          <w:trHeight w:val="2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9"/>
              <w:ind w:left="122"/>
              <w:rPr>
                <w:sz w:val="22"/>
              </w:rPr>
            </w:pPr>
            <w:r>
              <w:rPr>
                <w:sz w:val="22"/>
              </w:rPr>
              <w:t>14.1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3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Uslovi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priključenja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elektroenergetsku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infrastrukturu</w:t>
            </w:r>
          </w:p>
        </w:tc>
      </w:tr>
      <w:tr w:rsidR="007E7580" w:rsidTr="00F61214">
        <w:trPr>
          <w:trHeight w:val="136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tabs>
                <w:tab w:val="left" w:pos="6010"/>
              </w:tabs>
              <w:kinsoku w:val="0"/>
              <w:overflowPunct w:val="0"/>
              <w:ind w:left="5" w:right="-15"/>
              <w:rPr>
                <w:sz w:val="22"/>
              </w:rPr>
            </w:pPr>
            <w:r>
              <w:rPr>
                <w:sz w:val="22"/>
              </w:rPr>
              <w:t>U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granicama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izmjena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dopuna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UP-a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“Morača”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nalaze</w:t>
            </w:r>
            <w:r>
              <w:rPr>
                <w:sz w:val="22"/>
              </w:rPr>
              <w:tab/>
              <w:t>elektroenergetski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objekti</w:t>
            </w:r>
            <w:r>
              <w:rPr>
                <w:spacing w:val="33"/>
                <w:sz w:val="22"/>
              </w:rPr>
              <w:t xml:space="preserve"> </w:t>
            </w:r>
            <w:r>
              <w:rPr>
                <w:sz w:val="22"/>
              </w:rPr>
              <w:t>dva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naponska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nivoa: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kV 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 kV.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sz w:val="22"/>
              </w:rPr>
            </w:pPr>
            <w:r>
              <w:rPr>
                <w:sz w:val="22"/>
              </w:rPr>
              <w:t>Kroz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UP-prolaze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kablovi: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sz w:val="22"/>
              </w:rPr>
            </w:pPr>
            <w:r>
              <w:rPr>
                <w:sz w:val="22"/>
              </w:rPr>
              <w:t>TS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35//10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kV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“Gorica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“-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10/0,4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“Apoteka“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3697"/>
              <w:rPr>
                <w:sz w:val="22"/>
              </w:rPr>
            </w:pPr>
            <w:r>
              <w:rPr>
                <w:sz w:val="22"/>
              </w:rPr>
              <w:t>TS 35//10 kV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“Gorica “- TS 10/0,4 “Karadjordjeva“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10/0,4</w:t>
            </w:r>
            <w:r>
              <w:rPr>
                <w:spacing w:val="57"/>
                <w:sz w:val="22"/>
              </w:rPr>
              <w:t xml:space="preserve"> </w:t>
            </w:r>
            <w:r>
              <w:rPr>
                <w:sz w:val="22"/>
              </w:rPr>
              <w:t>“Socijalno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2“-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DTS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10/0,4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“Vojna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Morača“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TS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10/0,4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“Dom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Zdravlja“-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10/0,4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“Pozorište“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/>
              <w:rPr>
                <w:sz w:val="22"/>
              </w:rPr>
            </w:pPr>
            <w:r>
              <w:rPr>
                <w:sz w:val="22"/>
              </w:rPr>
              <w:t>Izgradnjom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Up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“Morača”,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doći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će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povećanja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vršne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snage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nivou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GUR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Podgorica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7,448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88 MVA.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Najbliža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prostoru UP-a TS 35/10 kV "Gorica"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,2 x 12,5 MVA , ne može biti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glavno čvorište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kvalitetno napajanje potrošača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UP-a , jer ne može obezbijediti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vršnu snagu od 7,448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88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MVA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Da bi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potrošači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UP-a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imali kvalitetno napajanje neophodna je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ubrzana izgradnja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planirane TS 110/10 kV "Podgorica 6", 2 x 40 MVA , na lokaciji sadašnje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TS 35/10 kV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"Centar"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Polazeći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izvršenog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proračuna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potreba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snazi,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rasporeda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novih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potrošača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traforeonima, kao i postojećeg stanja 10 kV mreže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planom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razvoja su predvidjeni sledeći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kV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elektrenergetski objekti: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rPr>
                <w:sz w:val="22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Trafostanice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10/0,4kV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: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0"/>
              <w:rPr>
                <w:sz w:val="21"/>
              </w:rPr>
            </w:pPr>
          </w:p>
          <w:p w:rsidR="007E7580" w:rsidRDefault="007E7580" w:rsidP="007E7580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</w:tabs>
              <w:kinsoku w:val="0"/>
              <w:overflowPunct w:val="0"/>
              <w:ind w:left="485" w:hanging="121"/>
              <w:rPr>
                <w:sz w:val="22"/>
              </w:rPr>
            </w:pPr>
            <w:r>
              <w:rPr>
                <w:sz w:val="22"/>
              </w:rPr>
              <w:t>NDTS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10/0,4kV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2x1000  kVA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“Morača</w:t>
            </w:r>
            <w:r>
              <w:rPr>
                <w:spacing w:val="57"/>
                <w:sz w:val="22"/>
              </w:rPr>
              <w:t xml:space="preserve"> </w:t>
            </w:r>
            <w:r>
              <w:rPr>
                <w:sz w:val="22"/>
              </w:rPr>
              <w:t>1“</w:t>
            </w:r>
            <w:r>
              <w:rPr>
                <w:spacing w:val="118"/>
                <w:sz w:val="22"/>
              </w:rPr>
              <w:t xml:space="preserve"> </w:t>
            </w:r>
            <w:r>
              <w:rPr>
                <w:sz w:val="22"/>
              </w:rPr>
              <w:t>nova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</w:tabs>
              <w:kinsoku w:val="0"/>
              <w:overflowPunct w:val="0"/>
              <w:spacing w:before="1" w:line="252" w:lineRule="exact"/>
              <w:ind w:left="485" w:hanging="121"/>
              <w:rPr>
                <w:sz w:val="22"/>
              </w:rPr>
            </w:pPr>
            <w:r>
              <w:rPr>
                <w:sz w:val="22"/>
              </w:rPr>
              <w:t>NDTS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10/0,4kV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1000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kVA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“Morača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2“</w:t>
            </w:r>
            <w:r>
              <w:rPr>
                <w:spacing w:val="119"/>
                <w:sz w:val="22"/>
              </w:rPr>
              <w:t xml:space="preserve"> </w:t>
            </w:r>
            <w:r>
              <w:rPr>
                <w:sz w:val="22"/>
              </w:rPr>
              <w:t>nova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</w:tabs>
              <w:kinsoku w:val="0"/>
              <w:overflowPunct w:val="0"/>
              <w:spacing w:line="252" w:lineRule="exact"/>
              <w:ind w:left="485" w:hanging="121"/>
              <w:rPr>
                <w:sz w:val="22"/>
              </w:rPr>
            </w:pPr>
            <w:r>
              <w:rPr>
                <w:sz w:val="22"/>
              </w:rPr>
              <w:t>NDTS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10/0,4kV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2x1000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kVA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“Morača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3“</w:t>
            </w:r>
            <w:r>
              <w:rPr>
                <w:spacing w:val="57"/>
                <w:sz w:val="22"/>
              </w:rPr>
              <w:t xml:space="preserve"> </w:t>
            </w:r>
            <w:r>
              <w:rPr>
                <w:sz w:val="22"/>
              </w:rPr>
              <w:t>nova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</w:tabs>
              <w:kinsoku w:val="0"/>
              <w:overflowPunct w:val="0"/>
              <w:spacing w:before="2" w:line="252" w:lineRule="exact"/>
              <w:ind w:left="485" w:hanging="121"/>
              <w:rPr>
                <w:sz w:val="22"/>
              </w:rPr>
            </w:pPr>
            <w:r>
              <w:rPr>
                <w:sz w:val="22"/>
              </w:rPr>
              <w:t>NDTS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10/0,4kV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1000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kVA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“Morača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4“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nova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</w:tabs>
              <w:kinsoku w:val="0"/>
              <w:overflowPunct w:val="0"/>
              <w:spacing w:line="252" w:lineRule="exact"/>
              <w:ind w:left="485" w:hanging="121"/>
              <w:rPr>
                <w:sz w:val="22"/>
              </w:rPr>
            </w:pPr>
            <w:r>
              <w:rPr>
                <w:sz w:val="22"/>
              </w:rPr>
              <w:t>NDTS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10/0,4kV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2x1000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kVA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“Morača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5“</w:t>
            </w:r>
            <w:r>
              <w:rPr>
                <w:spacing w:val="117"/>
                <w:sz w:val="22"/>
              </w:rPr>
              <w:t xml:space="preserve"> </w:t>
            </w:r>
            <w:r>
              <w:rPr>
                <w:sz w:val="22"/>
              </w:rPr>
              <w:t>nova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</w:tabs>
              <w:kinsoku w:val="0"/>
              <w:overflowPunct w:val="0"/>
              <w:spacing w:before="1" w:line="252" w:lineRule="exact"/>
              <w:ind w:left="485" w:hanging="121"/>
              <w:rPr>
                <w:sz w:val="22"/>
              </w:rPr>
            </w:pPr>
            <w:r>
              <w:rPr>
                <w:sz w:val="22"/>
              </w:rPr>
              <w:t>NDTS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10/0,4kV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2x1000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kVA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“Morača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6“</w:t>
            </w:r>
            <w:r>
              <w:rPr>
                <w:spacing w:val="117"/>
                <w:sz w:val="22"/>
              </w:rPr>
              <w:t xml:space="preserve"> </w:t>
            </w:r>
            <w:r>
              <w:rPr>
                <w:sz w:val="22"/>
              </w:rPr>
              <w:t>nova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Nove trafostanice su predvidjene za ugradnju u objekte UP-a i treba da budu bar tri puta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prolazne na strani visokog napona ,izradjene u SF6 tehnologiji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 potrebnim brojem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izvoda , odnosno osam po transformatoru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630 kVA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 dvanaest po transformatoru od 1000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kVA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Pri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projektovanju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izgradnji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trafostranice,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opremu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tipizirati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skaldu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tehničkim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preporukama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EPCG-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Niksić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(TP-1b),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odnosno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zahtjevima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nadležne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Elktrodistribucije.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0"/>
              <w:rPr>
                <w:sz w:val="21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Elektroinstalacija svih novih objekata mora biti izvedena u skladu sa važećim tehničkim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propisima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standardima,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kod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stambenih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objekata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normativima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iz plana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višeg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Instalacije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moraju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zadovoljavati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važeće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tehničke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propise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standarde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oblasti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elektroinstalacija niskog napona.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 zaštitu od indirektnog dodira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 objektima primijeniti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sistem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TN-S.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rPr>
                <w:sz w:val="22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Osvjetljenje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javnih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povrsina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rPr>
                <w:sz w:val="22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Pošto je javno osvetljenje sastavni dio urbanističke cjeline, treba ga tako izgraditi da 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zadovolje i urbanistički i saobraćajno - tehnički zahtjevi, istovremeno težeći za tim 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instalacija osvetljenja postane integralni element urbane sredine. Mora se voditi računa 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osvetljenje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ostalih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površina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osigurati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minimalne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zahtjeve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koji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će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obezbjediti kretanje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što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veću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sigurnost i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konfor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svih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učesnika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noćnom saobraćaju, kao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i da ima i svoju dekorativnu funkciju. Zato se pri rješavanju uličnog osvetljenja mora voditi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računa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 sva četiri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osnovna mjerila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kvaliteta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osvetljenja: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kinsoku w:val="0"/>
              <w:overflowPunct w:val="0"/>
              <w:spacing w:line="251" w:lineRule="exact"/>
              <w:ind w:left="137" w:hanging="133"/>
              <w:rPr>
                <w:sz w:val="22"/>
              </w:rPr>
            </w:pPr>
            <w:r>
              <w:rPr>
                <w:sz w:val="22"/>
              </w:rPr>
              <w:t>nivo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sjajnosti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kolovoza,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kinsoku w:val="0"/>
              <w:overflowPunct w:val="0"/>
              <w:spacing w:before="2" w:line="252" w:lineRule="exact"/>
              <w:ind w:left="137" w:hanging="133"/>
              <w:rPr>
                <w:sz w:val="22"/>
              </w:rPr>
            </w:pPr>
            <w:r>
              <w:rPr>
                <w:sz w:val="22"/>
              </w:rPr>
              <w:t>podužna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opšta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ravnomjernost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sjajnosti,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kinsoku w:val="0"/>
              <w:overflowPunct w:val="0"/>
              <w:spacing w:line="252" w:lineRule="exact"/>
              <w:ind w:left="137" w:hanging="133"/>
              <w:rPr>
                <w:sz w:val="22"/>
              </w:rPr>
            </w:pPr>
            <w:r>
              <w:rPr>
                <w:sz w:val="22"/>
              </w:rPr>
              <w:t>ograničenje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zaslepljivanja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(smanjenje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psihološkog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blještanja)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kinsoku w:val="0"/>
              <w:overflowPunct w:val="0"/>
              <w:spacing w:line="233" w:lineRule="exact"/>
              <w:ind w:left="137" w:hanging="133"/>
              <w:rPr>
                <w:sz w:val="22"/>
              </w:rPr>
            </w:pPr>
            <w:r>
              <w:rPr>
                <w:sz w:val="22"/>
              </w:rPr>
              <w:t>vizuelno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vodjenje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saobraćaja.</w:t>
            </w:r>
          </w:p>
        </w:tc>
      </w:tr>
    </w:tbl>
    <w:p w:rsidR="007E7580" w:rsidRDefault="007E7580" w:rsidP="007E7580">
      <w:pPr>
        <w:rPr>
          <w:szCs w:val="24"/>
        </w:rPr>
        <w:sectPr w:rsidR="007E7580">
          <w:pgSz w:w="11910" w:h="16840"/>
          <w:pgMar w:top="840" w:right="480" w:bottom="825" w:left="120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587"/>
        <w:gridCol w:w="8886"/>
      </w:tblGrid>
      <w:tr w:rsidR="007E7580" w:rsidTr="00F61214">
        <w:trPr>
          <w:trHeight w:val="177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Po važećim preporukama CIE (Publikation CIE 115, 1995. god.), sve saobraćajnice 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motorni i mješoviti saobraćaj su svrstane u pet svetlotehničkih klasa, M1 do M5, a 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zavisnosti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kategorije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puta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gustine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složenosti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postojanja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sredstava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kontrolu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(semafora,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znakova)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sredstava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odvajanje pojedinih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učesnika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saobraćaju. Sledeća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tabela daje vrijednosti pobrojanih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svetlotehničkih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parametara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koje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još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uvijek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obezbjedjuju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dobru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vidljivost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dobar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vidni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komfor</w:t>
            </w:r>
          </w:p>
        </w:tc>
      </w:tr>
      <w:tr w:rsidR="007E7580" w:rsidTr="00F61214">
        <w:trPr>
          <w:trHeight w:val="2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1" w:lineRule="exact"/>
              <w:ind w:left="5"/>
              <w:rPr>
                <w:sz w:val="22"/>
              </w:rPr>
            </w:pPr>
            <w:r>
              <w:rPr>
                <w:sz w:val="22"/>
              </w:rPr>
              <w:t>Prema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uslovima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ovog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nadležnog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organa</w:t>
            </w:r>
          </w:p>
        </w:tc>
      </w:tr>
      <w:tr w:rsidR="007E7580" w:rsidTr="00F61214">
        <w:trPr>
          <w:trHeight w:val="2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9"/>
              <w:ind w:left="122"/>
              <w:rPr>
                <w:sz w:val="22"/>
              </w:rPr>
            </w:pPr>
            <w:r>
              <w:rPr>
                <w:sz w:val="22"/>
              </w:rPr>
              <w:t>14.2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Uslovi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priključenja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vodovodnu 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kanalizacionu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infrastrukturu</w:t>
            </w:r>
          </w:p>
        </w:tc>
      </w:tr>
      <w:tr w:rsidR="007E7580" w:rsidTr="00F61214">
        <w:trPr>
          <w:trHeight w:val="118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Vodovod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snabdijevanje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vodom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planiranih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objekata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prostoru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zahvata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UP-a,lokacije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obzirom na njihovu namjenu, planiran je cjevovod od ulice Vaka Đurovića, do sjevernog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trotoara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produžetku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mosta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Milenijum,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duž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interne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povezuje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sve planirane objekte,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profila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200mm.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Ovaj cjevovod, planiran je da se spoji sa cjevovodom Ø 300mm iz pravca mosta Milenijum,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i budućim cjevovodom Ø 200mm u ulici Vaka Đurovića, koji treba da zamijeni postojeći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cjevovod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125mm.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480"/>
              <w:jc w:val="both"/>
              <w:rPr>
                <w:sz w:val="22"/>
              </w:rPr>
            </w:pPr>
            <w:r>
              <w:rPr>
                <w:sz w:val="22"/>
              </w:rPr>
              <w:t>Propusna moć planiranog cjevovoda iznosi od 40-55 l/sec, pri tolerantnim padovima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pritiska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 racionalnim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brzinama.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Potrebe za vodom mogu se definisati kao ukupna potreba za sanitarnom vodom 14,85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l/sec,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računato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kao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časovni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maksimum,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koji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potpunosti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zadovoljava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planirani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cjevovod.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Količinu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protivpožarne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ukupno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l/sec,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planirani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cjevovod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potpunosti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zadovoljava, a u posebnom elaboratu će se tretirati i predvidjeti druge mjere protivpožarne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zaštite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splinker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sistem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sl.)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za slučaj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korišćenja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protivpožarne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namjene.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0"/>
              <w:rPr>
                <w:sz w:val="21"/>
              </w:rPr>
            </w:pPr>
          </w:p>
          <w:p w:rsidR="007E7580" w:rsidRDefault="007E7580" w:rsidP="00F61214">
            <w:pPr>
              <w:pStyle w:val="TableParagraph"/>
              <w:tabs>
                <w:tab w:val="left" w:pos="6144"/>
              </w:tabs>
              <w:kinsoku w:val="0"/>
              <w:overflowPunct w:val="0"/>
              <w:ind w:left="5" w:right="-15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izradu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vodovodne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mreže,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planirane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su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cijevi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PEVG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z w:val="22"/>
              </w:rPr>
              <w:tab/>
              <w:t>PE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radne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pritiske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10 bara, dok su za izradu čvorova predviđeni liveno gvozdeni fazonski komadi i armature.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Obrada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projekata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uličnih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blokovskih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cjevovoda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kao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samih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priključaka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objekata,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radi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osnovu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preciznih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uslova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priključenja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koje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budući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investitori treba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obezbjeđuju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JP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“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Vodovod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kanalizacija”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Podgorica,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što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propisati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urbanističko-tehničkim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uslovima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strane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nadležnog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opštinskog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ili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republičkog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organa.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2" w:line="252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Kanalizacija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Postojeći kolektor fekalne kanalizacije, duž nastavka ulice Stanka Dragojevića i ulice Vaka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Đurovića, odvođenje otpadnih voda usmjerava na tu stranu, tako da se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planira novi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kolektor Ø 300mm duž upravne saobraćajnice koja ide u pravcu budućeg hotela, odnosno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kružne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raskrsnice,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odakle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lijevo i desno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grana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kolektorima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250mm.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Odabrani profili Ø 3000mm i Ø 250mm, sa mogućim padom koji neće biti manji od 0,5%,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mogu u potpunosti zadovoljiti potrebe za odvođenjem otpadnih voda iz planiranih objekata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zoni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UP-a.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103"/>
              <w:jc w:val="both"/>
              <w:rPr>
                <w:sz w:val="22"/>
              </w:rPr>
            </w:pPr>
            <w:r>
              <w:rPr>
                <w:sz w:val="22"/>
              </w:rPr>
              <w:t>Za dio podzemnih etaža, neće moći da se obezbijedi gravitaciono odvođenje otpadnih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voda iz sanitarnih čvorova na tim nivoima, nego će priključenje otpadnih voda morati da 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izvrši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putem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prepumpnih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fekalnih stanica.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 w:firstLine="69"/>
              <w:jc w:val="both"/>
              <w:rPr>
                <w:sz w:val="22"/>
              </w:rPr>
            </w:pPr>
            <w:r>
              <w:rPr>
                <w:sz w:val="22"/>
              </w:rPr>
              <w:t>Kolektori fekalne kanalizacije, planirani su da se grade od PVC cijevi klase u zavisnosti 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dubine ukopavanja, a na mjestima priključaka i na rastojanju od 50m planirana je izgradnja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revizionih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okana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liveno-gvozdenim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poklopcima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propisnim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penjalicama.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Kolektore kao i priključke budućih objekata treba projektovati na osnovu uslova priključenja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pribavljenih od strane JP«Vodovod i kanalizacija« Podgorica, obaveze koju treba precizirati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urbanističko-tehničkim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uslovima.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Atmosferska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kanalizacija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60"/>
              <w:jc w:val="both"/>
              <w:rPr>
                <w:sz w:val="22"/>
              </w:rPr>
            </w:pPr>
            <w:r>
              <w:rPr>
                <w:sz w:val="22"/>
              </w:rPr>
              <w:t>Relativno velika površina zahvata UP-a, kao i površina pod saobraćajnicama, trotoarima 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poslovnim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objektima,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zahtijevaju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posebnu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pažnju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sakupljanja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odvođenja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atmosferskih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voda.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 w:firstLine="480"/>
              <w:jc w:val="both"/>
              <w:rPr>
                <w:sz w:val="22"/>
              </w:rPr>
            </w:pPr>
            <w:r>
              <w:rPr>
                <w:sz w:val="22"/>
              </w:rPr>
              <w:t>Posebna pogodnost za to je i blizina korita rijeke Morače, u koju može da se izvrši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upuštanje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prikupljenih atmosferskih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voda.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 w:right="-15" w:firstLine="480"/>
              <w:jc w:val="both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dijelu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ulice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Vaka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Đurovića,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planirana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izgradnja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kolektora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1.000mm,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posebnim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ispustom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rijeku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Moraču.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Planirani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kolektor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primi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atmosferske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vode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</w:p>
        </w:tc>
      </w:tr>
    </w:tbl>
    <w:p w:rsidR="007E7580" w:rsidRDefault="007E7580" w:rsidP="007E7580">
      <w:pPr>
        <w:rPr>
          <w:szCs w:val="24"/>
        </w:rPr>
        <w:sectPr w:rsidR="007E7580">
          <w:pgSz w:w="11910" w:h="16840"/>
          <w:pgMar w:top="840" w:right="480" w:bottom="280" w:left="120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587"/>
        <w:gridCol w:w="8886"/>
      </w:tblGrid>
      <w:tr w:rsidR="007E7580" w:rsidTr="00F61214">
        <w:trPr>
          <w:trHeight w:val="632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prostora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susjednog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DUP-a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pravcu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istoka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(DUP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«Nova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Varoš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2»),</w:t>
            </w:r>
            <w:r>
              <w:rPr>
                <w:spacing w:val="1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obrađenom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projektnom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dokumentacijom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iz tog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pravca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je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planiran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kolektor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800mm.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720"/>
              <w:jc w:val="both"/>
              <w:rPr>
                <w:sz w:val="22"/>
              </w:rPr>
            </w:pPr>
            <w:r>
              <w:rPr>
                <w:sz w:val="22"/>
              </w:rPr>
              <w:t>Ispust ovog kolektora Ø 1.000mm, planiran je nizvodno od postojećeg kolektora 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500mm,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posebnim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uređenjem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ispusta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uvođenjem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ispod nivoa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malih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voda.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480"/>
              <w:jc w:val="both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odvođenje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atmosferskih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interne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buduće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kružne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raskrsnice do ulice Stanka Dragojevića, planiran je kolektor Ø 400mm, sa priključenjem 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postojeći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kolektor,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dok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odvodnjavanje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paralelne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koritom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rijeke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Morače predviđeno zatvorenim kanalima Ø300 mm sa posebnim ispustom u korito rijeme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Morače.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485"/>
              <w:jc w:val="both"/>
              <w:rPr>
                <w:sz w:val="22"/>
              </w:rPr>
            </w:pPr>
            <w:r>
              <w:rPr>
                <w:sz w:val="22"/>
              </w:rPr>
              <w:t>Planiranu</w:t>
            </w:r>
            <w:r>
              <w:rPr>
                <w:spacing w:val="71"/>
                <w:sz w:val="22"/>
              </w:rPr>
              <w:t xml:space="preserve"> </w:t>
            </w:r>
            <w:r>
              <w:rPr>
                <w:sz w:val="22"/>
              </w:rPr>
              <w:t>uličnu</w:t>
            </w:r>
            <w:r>
              <w:rPr>
                <w:spacing w:val="72"/>
                <w:sz w:val="22"/>
              </w:rPr>
              <w:t xml:space="preserve"> </w:t>
            </w:r>
            <w:r>
              <w:rPr>
                <w:sz w:val="22"/>
              </w:rPr>
              <w:t>mrežu,</w:t>
            </w:r>
            <w:r>
              <w:rPr>
                <w:spacing w:val="71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71"/>
                <w:sz w:val="22"/>
              </w:rPr>
              <w:t xml:space="preserve"> </w:t>
            </w:r>
            <w:r>
              <w:rPr>
                <w:sz w:val="22"/>
              </w:rPr>
              <w:t>dimenzionisati</w:t>
            </w:r>
            <w:r>
              <w:rPr>
                <w:spacing w:val="69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74"/>
                <w:sz w:val="22"/>
              </w:rPr>
              <w:t xml:space="preserve"> </w:t>
            </w:r>
            <w:r>
              <w:rPr>
                <w:sz w:val="22"/>
              </w:rPr>
              <w:t>osnovu</w:t>
            </w:r>
            <w:r>
              <w:rPr>
                <w:spacing w:val="72"/>
                <w:sz w:val="22"/>
              </w:rPr>
              <w:t xml:space="preserve"> </w:t>
            </w:r>
            <w:r>
              <w:rPr>
                <w:sz w:val="22"/>
              </w:rPr>
              <w:t>intenziteta</w:t>
            </w:r>
            <w:r>
              <w:rPr>
                <w:spacing w:val="71"/>
                <w:sz w:val="22"/>
              </w:rPr>
              <w:t xml:space="preserve"> </w:t>
            </w:r>
            <w:r>
              <w:rPr>
                <w:sz w:val="22"/>
              </w:rPr>
              <w:t>padavina</w:t>
            </w:r>
            <w:r>
              <w:rPr>
                <w:spacing w:val="74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127 lit/sec/ha, za vrijeme trajanja od 15 min, uz pretpostavljeni koeficijent oticanja 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prosječno 0,5 – 0,7, obzirom na velike krovne površine planiranih objekata, gdje takođe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treba u posebnoj studiji riješiti pitanje odvođenja atmosferskih voda, obzirom na značaj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objekata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planiranih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zahvatu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UP-a.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854"/>
              <w:jc w:val="both"/>
              <w:rPr>
                <w:sz w:val="22"/>
              </w:rPr>
            </w:pPr>
            <w:r>
              <w:rPr>
                <w:sz w:val="22"/>
              </w:rPr>
              <w:t>Kanali atmosferske kanalizacije planirani su da se grade od PVC cijevi, klase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prema dubini ukopavanja i od AB cijevi za veće profile sa potrebnim brojem slivnika 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revizionih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slivnika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kojima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postavljaju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jednodjelne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dvodjelne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slivničke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rešetke.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792"/>
              <w:jc w:val="both"/>
              <w:rPr>
                <w:sz w:val="22"/>
              </w:rPr>
            </w:pPr>
            <w:r>
              <w:rPr>
                <w:sz w:val="22"/>
              </w:rPr>
              <w:t>Kod dvostranih nagiba sobraćajnica odvodnjavanje suprotne strane 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treba rješavati izgradnjom poprečnih kanala profila DN 250mm sa jednodjelnom slivničkom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rešetkom.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 w:firstLine="854"/>
              <w:jc w:val="both"/>
              <w:rPr>
                <w:sz w:val="22"/>
              </w:rPr>
            </w:pPr>
            <w:r>
              <w:rPr>
                <w:sz w:val="22"/>
              </w:rPr>
              <w:t>Precizne uslove za obradu projektne dokumentacije treba formirati na osnovu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katastara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postojećih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instalacija,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uslova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priključenja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JP«Vodovod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kanalizacija«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Podgorica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generalnog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idejnog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projekta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odvođenja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atmosferskih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voda,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što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precizirati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urbanističko-tehničkim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uslovima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koje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izdaje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nadležni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opštinski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organ.</w:t>
            </w:r>
          </w:p>
        </w:tc>
      </w:tr>
      <w:tr w:rsidR="007E7580" w:rsidTr="00F61214">
        <w:trPr>
          <w:trHeight w:val="29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ind w:left="5"/>
              <w:rPr>
                <w:sz w:val="22"/>
              </w:rPr>
            </w:pPr>
            <w:r>
              <w:rPr>
                <w:sz w:val="22"/>
              </w:rPr>
              <w:t>Prema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uslovima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ovog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nadležnog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organa</w:t>
            </w:r>
          </w:p>
        </w:tc>
      </w:tr>
      <w:tr w:rsidR="007E7580" w:rsidTr="00F61214">
        <w:trPr>
          <w:trHeight w:val="29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9"/>
              <w:ind w:left="122"/>
              <w:rPr>
                <w:sz w:val="22"/>
              </w:rPr>
            </w:pPr>
            <w:r>
              <w:rPr>
                <w:sz w:val="22"/>
              </w:rPr>
              <w:t>14.3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Uslovi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priključenja</w:t>
            </w:r>
            <w:r>
              <w:rPr>
                <w:b/>
                <w:spacing w:val="54"/>
                <w:sz w:val="22"/>
              </w:rPr>
              <w:t xml:space="preserve"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saobraćajnu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infrastrukturu</w:t>
            </w:r>
          </w:p>
        </w:tc>
      </w:tr>
      <w:tr w:rsidR="007E7580" w:rsidTr="00F61214">
        <w:trPr>
          <w:trHeight w:val="73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Kasarnu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Morača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tangiraju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primarne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gradske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mreže: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Bulevari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Ivana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Crnojevića i Vaka Đurovića. U planu je i završetak Bulevara Vaka Đurovića do mosta 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Morači u punom profilu. Pristup parcelama ostvariće se sa Bulevara Vaka Đurovića u nivou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dostavnu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internu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saobracajnicu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denivelisan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pristup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višenamjenske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garaže.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9"/>
              <w:rPr>
                <w:sz w:val="21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Interne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planirane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širinom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kolovoza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6.0m.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njih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moguće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organizovati parkiranje. Broj parking mjesta u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okviru otvorenog parkinga i u garažama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zadovolji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potrebe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za parkiranjem,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shodno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utvrđenim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normativima.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rPr>
                <w:sz w:val="22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Najmanje 5% javnih parking mjesta treba namijeniti licima sa invaliditetom (u skladu 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važećim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Pravilnikom).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Kod formiranja otvorenih parkinga može se koristiti sistem upravnog, uzdužnog i kosog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parkiranja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ili njihova kombinacija.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Otvorena parkirališta raditi sa zastorom od asfalt-betona ili od prefabrikovanih betonskih ili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beton-trava elemenata, u zavisnosti od koncepcije parterne obrade. Preporuka je da 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koristi zastor od prefabrikovanih elemenata (beton-trava) i uz ili između parkinga zasaditi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drveće;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rPr>
                <w:sz w:val="22"/>
              </w:rPr>
            </w:pPr>
            <w:r>
              <w:rPr>
                <w:sz w:val="22"/>
              </w:rPr>
              <w:t>Na parkinzima u zoni zahvata sprovesti mjere pejzažnog uređenja površina (npr. djelimicno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popločanje,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više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manjih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pergolom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natkrivenih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površina,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zasad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adekvatnog</w:t>
            </w:r>
            <w:r>
              <w:rPr>
                <w:spacing w:val="37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zelenila,..</w:t>
            </w:r>
            <w:proofErr w:type="gramEnd"/>
            <w:r>
              <w:rPr>
                <w:sz w:val="22"/>
              </w:rPr>
              <w:t>),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sve u cilju ublažavanja negativnosti koje velika betonirana površina ima na ukupni pejzaž.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Uslovi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izgradnju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garaža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rPr>
                <w:sz w:val="22"/>
              </w:rPr>
            </w:pPr>
            <w:r>
              <w:rPr>
                <w:sz w:val="22"/>
              </w:rPr>
              <w:t>Opšti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uslovi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građenja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smještaja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garaža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koji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moraju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poštovati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prilikom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izrade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planova</w:t>
            </w:r>
            <w:r>
              <w:rPr>
                <w:spacing w:val="-58"/>
                <w:sz w:val="22"/>
              </w:rPr>
              <w:t xml:space="preserve"> </w:t>
            </w:r>
            <w:r>
              <w:rPr>
                <w:sz w:val="22"/>
              </w:rPr>
              <w:t>su: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kinsoku w:val="0"/>
              <w:overflowPunct w:val="0"/>
              <w:spacing w:line="251" w:lineRule="exact"/>
              <w:ind w:left="199" w:hanging="195"/>
              <w:rPr>
                <w:sz w:val="22"/>
              </w:rPr>
            </w:pPr>
            <w:r>
              <w:rPr>
                <w:sz w:val="22"/>
              </w:rPr>
              <w:t>Garaža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imati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osiguran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pristup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ulice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nižeg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i/ili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višeg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ranga,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kinsoku w:val="0"/>
              <w:overflowPunct w:val="0"/>
              <w:spacing w:before="2"/>
              <w:ind w:left="5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Ukoliko se u nekom objektu ili na lokaciji planira garaža, poštovati normative i standarde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koji definišu ovu oblast (širina jednosmjerne i/ili dvosmjerne prave odnosno kružne rampe,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nagib rampe, broj rampi u zavisnosti od veličine garaže, slobodna visina garaže, širirna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prolaza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parkirne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saobraćajnice,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veličina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parking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mjesta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odnosu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položaj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konstruktivnih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 w:line="231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elemenata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itd),</w:t>
            </w:r>
          </w:p>
        </w:tc>
      </w:tr>
    </w:tbl>
    <w:p w:rsidR="007E7580" w:rsidRDefault="007E7580" w:rsidP="007E7580">
      <w:pPr>
        <w:rPr>
          <w:szCs w:val="24"/>
        </w:rPr>
        <w:sectPr w:rsidR="007E7580">
          <w:pgSz w:w="11910" w:h="16840"/>
          <w:pgMar w:top="840" w:right="480" w:bottom="280" w:left="120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587"/>
        <w:gridCol w:w="8886"/>
      </w:tblGrid>
      <w:tr w:rsidR="007E7580" w:rsidTr="00F61214">
        <w:trPr>
          <w:trHeight w:val="1037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7E7580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kinsoku w:val="0"/>
              <w:overflowPunct w:val="0"/>
              <w:spacing w:before="1"/>
              <w:ind w:left="5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U objektu, ili u posebnom аneksu se mogu predvidjeti poslovni prostori potrebni zа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održаvаnje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vozilа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(radionica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mаnje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poprаvke,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vulkаnizerа,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prаnje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vozilа,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prodаvnicu rezervnih dijelovа), а što će zаvisiti od mogućnosti lokаcije te od izvršenih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аnаlizа i potrebа tаkvih sаdržаjа kаo i njihove ekonomske oprаvdаnosti i zа njih se može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predvidjeti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eksterni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kolski prilаz.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4"/>
              </w:numPr>
              <w:tabs>
                <w:tab w:val="left" w:pos="145"/>
              </w:tabs>
              <w:kinsoku w:val="0"/>
              <w:overflowPunct w:val="0"/>
              <w:spacing w:line="242" w:lineRule="auto"/>
              <w:ind w:left="5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U blizini ulаzne pаrtije, u dijelu objektа jаvne pаrking gаrаže, mogu se predvidjeti pаrking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biciklа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vozilа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kаtegorije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kao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uprаvni dio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gаrаže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(kаncelаrije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prаteći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sаdržаji).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4"/>
              </w:numPr>
              <w:tabs>
                <w:tab w:val="left" w:pos="160"/>
              </w:tabs>
              <w:kinsoku w:val="0"/>
              <w:overflowPunct w:val="0"/>
              <w:ind w:left="5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Kolski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prilаz (ulаz i izlаz iz gаrаže) riješiti premа postojećim sаobrаćаjnim tokovimа nа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lokаlitetu,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poželjno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projektovati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prilaz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(ulаz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izlаz)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gаrаže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servisne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sаobrаćаjnice. Tаčаn položаj priključkа gаrаže nа jаvne sаobrаćаjnice, definisаće se nа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nivou tehničke dokumentаcije, bez izdvаjаnjа posebne pаrcele zа pristup. Preporukа je dа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ulаz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izlаz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gаrаže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objedine tj.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dа imаju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zаjedničku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kontrolu.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4"/>
              </w:numPr>
              <w:tabs>
                <w:tab w:val="left" w:pos="148"/>
              </w:tabs>
              <w:kinsoku w:val="0"/>
              <w:overflowPunct w:val="0"/>
              <w:ind w:left="5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Pješačka vertikаlnа komunikаcijа se sаstoji od stepeništа i/ili liftа koji imа predviđen izlаz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nа krovnu terаsu. Krov gаrаže se može koristiti kаo parkiralište ili kao ozelenjena krovna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terаsa, а poželjno je primjeniti i vertikаlno ozelenjаvаnje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fаsаdа. Protivpožаrne vertikаle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predvidjeti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sklаdu sа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protivpožаrnim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propisimа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 potrebаmа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gаrаže.</w:t>
            </w:r>
          </w:p>
          <w:p w:rsidR="007E7580" w:rsidRDefault="007E7580" w:rsidP="007E7580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kinsoku w:val="0"/>
              <w:overflowPunct w:val="0"/>
              <w:ind w:left="5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Prilikom projektovanja i izgradnje garaže pridržavati se Pravilnika o tehničkim zahtjevima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 zaštitu garaža za putničke automobile od požara i eksplozija (Službeni list CG, br13/07 i</w:t>
            </w:r>
            <w:r>
              <w:rPr>
                <w:spacing w:val="-59"/>
                <w:sz w:val="22"/>
              </w:rPr>
              <w:t xml:space="preserve"> </w:t>
            </w:r>
            <w:r>
              <w:rPr>
                <w:sz w:val="22"/>
              </w:rPr>
              <w:t>9/12).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3"/>
              <w:rPr>
                <w:sz w:val="21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Predvidjeti moguće lokacije niša za smještaj kontejnera. Lokacija sa potrebnim brojem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kontejnera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separatno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odlaganje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otpada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kroz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Glavni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projekat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saobraćajnice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će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odrediti na osnovu trenutnih i budućih potreba stanovnika, mogućnosti prilaza specijalnog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vozila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pražnjenje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otpada,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blizine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objekata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ispunjavanja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uslova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bezbjednosti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saobraćaja, a u saradnji sa nadležnim organima lokalne uprave Glavnog grada Podgorice.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Odlaganje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otpada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riješiti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postavljanjem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podzemnih kontejnera.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rPr>
                <w:sz w:val="22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pješačkih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komunikacija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sastoji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trotoara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uz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saobraćajnice,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popločanih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površina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ispred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između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objekata,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kao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uređenih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samostalnih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pješačkih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staza.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rPr>
                <w:sz w:val="22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Glavnim projektom pješačkih komunikacija neophodno je obezbijediti nesmetano kretanje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lica sa invaliditetom, kao i pristup svim javnim objektima. Rampa za potrebe savladavanja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visinske razlike do 120 cm, u unutrašnjem ili spoljašnjem prostoru može imati dopušteni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nagib do 1:20 (5%), </w:t>
            </w: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 xml:space="preserve"> izuzetno, za visinsku razliku do 76cm, dopušteni nagib smije biti do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1:12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(8,3%).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1"/>
              <w:rPr>
                <w:sz w:val="21"/>
              </w:rPr>
            </w:pP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Protivpožarni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putevi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before="1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Kod svih površina koje se koriste kao protivpožarni prilazi potrebno je, prilikom izrade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projektne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dokumentacije,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ostaviti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poprečnom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profilu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prostor,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širine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6m,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prolaz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specijalnih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vrsta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vozila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(vatrogasci,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hitna</w:t>
            </w:r>
            <w:r>
              <w:rPr>
                <w:spacing w:val="27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pomoć,...</w:t>
            </w:r>
            <w:proofErr w:type="gramEnd"/>
            <w:r>
              <w:rPr>
                <w:sz w:val="22"/>
              </w:rPr>
              <w:t>)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tome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treba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voditi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računa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prilikom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32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dimenzionisanja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njihove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konstrukcije.</w:t>
            </w:r>
          </w:p>
        </w:tc>
      </w:tr>
      <w:tr w:rsidR="007E7580" w:rsidTr="00F61214">
        <w:trPr>
          <w:trHeight w:val="29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sz w:val="22"/>
              </w:rPr>
            </w:pPr>
            <w:r>
              <w:rPr>
                <w:sz w:val="22"/>
              </w:rPr>
              <w:t>Prema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uslovima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ovog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nadležnog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organa</w:t>
            </w:r>
          </w:p>
        </w:tc>
      </w:tr>
      <w:tr w:rsidR="007E7580" w:rsidTr="00F61214">
        <w:trPr>
          <w:trHeight w:val="2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9"/>
              <w:ind w:left="122"/>
              <w:rPr>
                <w:sz w:val="22"/>
              </w:rPr>
            </w:pPr>
            <w:r>
              <w:rPr>
                <w:sz w:val="22"/>
              </w:rPr>
              <w:t>14.4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1" w:lineRule="exact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Uslovi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priključenja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TK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infrastrukturu</w:t>
            </w:r>
          </w:p>
        </w:tc>
      </w:tr>
      <w:tr w:rsidR="007E7580" w:rsidTr="00F61214">
        <w:trPr>
          <w:trHeight w:val="328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graničnom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području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UP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“Kasarna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Morača”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duž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ul.Stanka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Dragojevića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Ul.Vaka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Djurovića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postoji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izgradjena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tk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kanalizacija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U kontaktnoj zoni , Nova Varoš , nalazi se komutacioni čvor – tk centrala RSS Opština 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koje se napajaju pretplatnici sa ovog područja , a u okviru Telekomunikacionog centra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Podgorica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U odnosu na nove standarde u pružanju savremenih tk servisa , ovaj telekomunikacioni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čvor je dobro pozicioniran u odnosu na posmatranu zonu UP tako da može , u odnosu 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dužinu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pretplatničke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petlje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rastojanje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tk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centrale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pretplatnika,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snadbijeva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postojeće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buduće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pretplatnike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iz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zone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posmatranog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UP-a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ovim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servisima.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Problem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realizaciji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priključenja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unutar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zone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predstavlja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nepostojanje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tk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kanalizacije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unutar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zone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spacing w:line="254" w:lineRule="exact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Unutar zone, predvidjena izgradnja tk kanalizacije na svim potezima gdje je to neophodno,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kako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bi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omogućilo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provlačenje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novih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tk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kablova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stvaranje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uslova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za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priključenje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novih</w:t>
            </w:r>
          </w:p>
        </w:tc>
      </w:tr>
    </w:tbl>
    <w:p w:rsidR="007E7580" w:rsidRDefault="007E7580" w:rsidP="007E7580">
      <w:pPr>
        <w:rPr>
          <w:szCs w:val="24"/>
        </w:rPr>
        <w:sectPr w:rsidR="007E7580">
          <w:pgSz w:w="11910" w:h="16840"/>
          <w:pgMar w:top="840" w:right="480" w:bottom="942" w:left="1200" w:header="720" w:footer="720" w:gutter="0"/>
          <w:cols w:space="720"/>
        </w:sect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587"/>
        <w:gridCol w:w="8886"/>
      </w:tblGrid>
      <w:tr w:rsidR="007E7580" w:rsidTr="00F61214">
        <w:trPr>
          <w:trHeight w:val="151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before="1" w:line="252" w:lineRule="exact"/>
              <w:ind w:left="5"/>
              <w:jc w:val="both"/>
              <w:rPr>
                <w:sz w:val="22"/>
              </w:rPr>
            </w:pPr>
            <w:r>
              <w:rPr>
                <w:sz w:val="22"/>
              </w:rPr>
              <w:t>tk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pretplatnika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zoni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planirane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kablove.</w:t>
            </w:r>
          </w:p>
          <w:p w:rsidR="007E7580" w:rsidRDefault="007E7580" w:rsidP="00F61214">
            <w:pPr>
              <w:pStyle w:val="TableParagraph"/>
              <w:kinsoku w:val="0"/>
              <w:overflowPunct w:val="0"/>
              <w:ind w:left="5" w:right="-15"/>
              <w:jc w:val="both"/>
              <w:rPr>
                <w:sz w:val="22"/>
              </w:rPr>
            </w:pPr>
            <w:r>
              <w:rPr>
                <w:sz w:val="22"/>
              </w:rPr>
              <w:t>Trasu planirane tk kanalizacije potrebno je, gdje god je to moguće, uklopiti u trase trotoara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ili zelenih površina, jer bi 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 slučaju da se tk okna rade u trasi saobraćajnice ili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parking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prostora, morali ugraditi teški poklopci sa ramom i u skladu sa tim uraditi i ojačanje okana,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što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bi bilo neekonomično</w:t>
            </w:r>
          </w:p>
        </w:tc>
      </w:tr>
      <w:tr w:rsidR="007E7580" w:rsidTr="00F61214">
        <w:trPr>
          <w:trHeight w:val="2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80" w:rsidRDefault="007E7580" w:rsidP="00F61214">
            <w:pPr>
              <w:pStyle w:val="TableParagraph"/>
              <w:kinsoku w:val="0"/>
              <w:overflowPunct w:val="0"/>
              <w:spacing w:line="252" w:lineRule="exact"/>
              <w:ind w:left="5"/>
              <w:rPr>
                <w:sz w:val="22"/>
              </w:rPr>
            </w:pPr>
            <w:r>
              <w:rPr>
                <w:sz w:val="22"/>
              </w:rPr>
              <w:t>Prema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uslovima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ovog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plana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nadležnog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organa</w:t>
            </w:r>
          </w:p>
        </w:tc>
      </w:tr>
    </w:tbl>
    <w:p w:rsidR="000672DB" w:rsidRDefault="000672DB">
      <w:bookmarkStart w:id="0" w:name="_GoBack"/>
      <w:bookmarkEnd w:id="0"/>
    </w:p>
    <w:sectPr w:rsidR="000672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77"/>
    <w:multiLevelType w:val="hybridMultilevel"/>
    <w:tmpl w:val="00000477"/>
    <w:lvl w:ilvl="0" w:tplc="FFFFFFFF">
      <w:start w:val="1"/>
      <w:numFmt w:val="bullet"/>
      <w:lvlText w:val="•"/>
      <w:lvlJc w:val="left"/>
      <w:pPr>
        <w:ind w:left="722" w:hanging="120"/>
      </w:pPr>
      <w:rPr>
        <w:rFonts w:ascii="Arial" w:eastAsia="SimSun" w:hAnsi="Arial"/>
        <w:sz w:val="22"/>
      </w:rPr>
    </w:lvl>
    <w:lvl w:ilvl="1" w:tplc="FFFFFFFF">
      <w:start w:val="1"/>
      <w:numFmt w:val="bullet"/>
      <w:lvlText w:val="•"/>
      <w:lvlJc w:val="left"/>
      <w:pPr>
        <w:ind w:left="1541" w:hanging="120"/>
      </w:pPr>
    </w:lvl>
    <w:lvl w:ilvl="2" w:tplc="FFFFFFFF">
      <w:start w:val="1"/>
      <w:numFmt w:val="bullet"/>
      <w:lvlText w:val="•"/>
      <w:lvlJc w:val="left"/>
      <w:pPr>
        <w:ind w:left="2362" w:hanging="120"/>
      </w:pPr>
    </w:lvl>
    <w:lvl w:ilvl="3" w:tplc="FFFFFFFF">
      <w:start w:val="1"/>
      <w:numFmt w:val="bullet"/>
      <w:lvlText w:val="•"/>
      <w:lvlJc w:val="left"/>
      <w:pPr>
        <w:ind w:left="3184" w:hanging="120"/>
      </w:pPr>
    </w:lvl>
    <w:lvl w:ilvl="4" w:tplc="FFFFFFFF">
      <w:start w:val="1"/>
      <w:numFmt w:val="bullet"/>
      <w:lvlText w:val="•"/>
      <w:lvlJc w:val="left"/>
      <w:pPr>
        <w:ind w:left="4005" w:hanging="120"/>
      </w:pPr>
    </w:lvl>
    <w:lvl w:ilvl="5" w:tplc="FFFFFFFF">
      <w:start w:val="1"/>
      <w:numFmt w:val="bullet"/>
      <w:lvlText w:val="•"/>
      <w:lvlJc w:val="left"/>
      <w:pPr>
        <w:ind w:left="4827" w:hanging="120"/>
      </w:pPr>
    </w:lvl>
    <w:lvl w:ilvl="6" w:tplc="FFFFFFFF">
      <w:start w:val="1"/>
      <w:numFmt w:val="bullet"/>
      <w:lvlText w:val="•"/>
      <w:lvlJc w:val="left"/>
      <w:pPr>
        <w:ind w:left="5648" w:hanging="120"/>
      </w:pPr>
    </w:lvl>
    <w:lvl w:ilvl="7" w:tplc="FFFFFFFF">
      <w:start w:val="1"/>
      <w:numFmt w:val="bullet"/>
      <w:lvlText w:val="•"/>
      <w:lvlJc w:val="left"/>
      <w:pPr>
        <w:ind w:left="6469" w:hanging="120"/>
      </w:pPr>
    </w:lvl>
    <w:lvl w:ilvl="8" w:tplc="FFFFFFFF">
      <w:start w:val="1"/>
      <w:numFmt w:val="bullet"/>
      <w:lvlText w:val="•"/>
      <w:lvlJc w:val="left"/>
      <w:pPr>
        <w:ind w:left="7291" w:hanging="120"/>
      </w:pPr>
    </w:lvl>
  </w:abstractNum>
  <w:abstractNum w:abstractNumId="1" w15:restartNumberingAfterBreak="0">
    <w:nsid w:val="00000478"/>
    <w:multiLevelType w:val="hybridMultilevel"/>
    <w:tmpl w:val="00000478"/>
    <w:lvl w:ilvl="0" w:tplc="FFFFFFFF">
      <w:start w:val="1"/>
      <w:numFmt w:val="bullet"/>
      <w:lvlText w:val="•"/>
      <w:lvlJc w:val="left"/>
      <w:pPr>
        <w:ind w:left="362" w:hanging="480"/>
      </w:pPr>
      <w:rPr>
        <w:rFonts w:ascii="Arial" w:eastAsia="SimSun" w:hAnsi="Arial"/>
        <w:sz w:val="22"/>
      </w:rPr>
    </w:lvl>
    <w:lvl w:ilvl="1" w:tplc="FFFFFFFF">
      <w:start w:val="1"/>
      <w:numFmt w:val="bullet"/>
      <w:lvlText w:val="•"/>
      <w:lvlJc w:val="left"/>
      <w:pPr>
        <w:ind w:left="1217" w:hanging="480"/>
      </w:pPr>
    </w:lvl>
    <w:lvl w:ilvl="2" w:tplc="FFFFFFFF">
      <w:start w:val="1"/>
      <w:numFmt w:val="bullet"/>
      <w:lvlText w:val="•"/>
      <w:lvlJc w:val="left"/>
      <w:pPr>
        <w:ind w:left="2074" w:hanging="480"/>
      </w:pPr>
    </w:lvl>
    <w:lvl w:ilvl="3" w:tplc="FFFFFFFF">
      <w:start w:val="1"/>
      <w:numFmt w:val="bullet"/>
      <w:lvlText w:val="•"/>
      <w:lvlJc w:val="left"/>
      <w:pPr>
        <w:ind w:left="2932" w:hanging="480"/>
      </w:pPr>
    </w:lvl>
    <w:lvl w:ilvl="4" w:tplc="FFFFFFFF">
      <w:start w:val="1"/>
      <w:numFmt w:val="bullet"/>
      <w:lvlText w:val="•"/>
      <w:lvlJc w:val="left"/>
      <w:pPr>
        <w:ind w:left="3789" w:hanging="480"/>
      </w:pPr>
    </w:lvl>
    <w:lvl w:ilvl="5" w:tplc="FFFFFFFF">
      <w:start w:val="1"/>
      <w:numFmt w:val="bullet"/>
      <w:lvlText w:val="•"/>
      <w:lvlJc w:val="left"/>
      <w:pPr>
        <w:ind w:left="4647" w:hanging="480"/>
      </w:pPr>
    </w:lvl>
    <w:lvl w:ilvl="6" w:tplc="FFFFFFFF">
      <w:start w:val="1"/>
      <w:numFmt w:val="bullet"/>
      <w:lvlText w:val="•"/>
      <w:lvlJc w:val="left"/>
      <w:pPr>
        <w:ind w:left="5504" w:hanging="480"/>
      </w:pPr>
    </w:lvl>
    <w:lvl w:ilvl="7" w:tplc="FFFFFFFF">
      <w:start w:val="1"/>
      <w:numFmt w:val="bullet"/>
      <w:lvlText w:val="•"/>
      <w:lvlJc w:val="left"/>
      <w:pPr>
        <w:ind w:left="6361" w:hanging="480"/>
      </w:pPr>
    </w:lvl>
    <w:lvl w:ilvl="8" w:tplc="FFFFFFFF">
      <w:start w:val="1"/>
      <w:numFmt w:val="bullet"/>
      <w:lvlText w:val="•"/>
      <w:lvlJc w:val="left"/>
      <w:pPr>
        <w:ind w:left="7219" w:hanging="480"/>
      </w:pPr>
    </w:lvl>
  </w:abstractNum>
  <w:abstractNum w:abstractNumId="2" w15:restartNumberingAfterBreak="0">
    <w:nsid w:val="00000479"/>
    <w:multiLevelType w:val="hybridMultilevel"/>
    <w:tmpl w:val="00000479"/>
    <w:lvl w:ilvl="0" w:tplc="FFFFFFFF">
      <w:start w:val="1"/>
      <w:numFmt w:val="bullet"/>
      <w:lvlText w:val="•"/>
      <w:lvlJc w:val="left"/>
      <w:pPr>
        <w:ind w:left="722" w:hanging="120"/>
      </w:pPr>
      <w:rPr>
        <w:rFonts w:ascii="Arial" w:eastAsia="SimSun" w:hAnsi="Arial"/>
        <w:sz w:val="22"/>
      </w:rPr>
    </w:lvl>
    <w:lvl w:ilvl="1" w:tplc="FFFFFFFF">
      <w:start w:val="1"/>
      <w:numFmt w:val="bullet"/>
      <w:lvlText w:val="•"/>
      <w:lvlJc w:val="left"/>
      <w:pPr>
        <w:ind w:left="1541" w:hanging="120"/>
      </w:pPr>
    </w:lvl>
    <w:lvl w:ilvl="2" w:tplc="FFFFFFFF">
      <w:start w:val="1"/>
      <w:numFmt w:val="bullet"/>
      <w:lvlText w:val="•"/>
      <w:lvlJc w:val="left"/>
      <w:pPr>
        <w:ind w:left="2362" w:hanging="120"/>
      </w:pPr>
    </w:lvl>
    <w:lvl w:ilvl="3" w:tplc="FFFFFFFF">
      <w:start w:val="1"/>
      <w:numFmt w:val="bullet"/>
      <w:lvlText w:val="•"/>
      <w:lvlJc w:val="left"/>
      <w:pPr>
        <w:ind w:left="3184" w:hanging="120"/>
      </w:pPr>
    </w:lvl>
    <w:lvl w:ilvl="4" w:tplc="FFFFFFFF">
      <w:start w:val="1"/>
      <w:numFmt w:val="bullet"/>
      <w:lvlText w:val="•"/>
      <w:lvlJc w:val="left"/>
      <w:pPr>
        <w:ind w:left="4005" w:hanging="120"/>
      </w:pPr>
    </w:lvl>
    <w:lvl w:ilvl="5" w:tplc="FFFFFFFF">
      <w:start w:val="1"/>
      <w:numFmt w:val="bullet"/>
      <w:lvlText w:val="•"/>
      <w:lvlJc w:val="left"/>
      <w:pPr>
        <w:ind w:left="4827" w:hanging="120"/>
      </w:pPr>
    </w:lvl>
    <w:lvl w:ilvl="6" w:tplc="FFFFFFFF">
      <w:start w:val="1"/>
      <w:numFmt w:val="bullet"/>
      <w:lvlText w:val="•"/>
      <w:lvlJc w:val="left"/>
      <w:pPr>
        <w:ind w:left="5648" w:hanging="120"/>
      </w:pPr>
    </w:lvl>
    <w:lvl w:ilvl="7" w:tplc="FFFFFFFF">
      <w:start w:val="1"/>
      <w:numFmt w:val="bullet"/>
      <w:lvlText w:val="•"/>
      <w:lvlJc w:val="left"/>
      <w:pPr>
        <w:ind w:left="6469" w:hanging="120"/>
      </w:pPr>
    </w:lvl>
    <w:lvl w:ilvl="8" w:tplc="FFFFFFFF">
      <w:start w:val="1"/>
      <w:numFmt w:val="bullet"/>
      <w:lvlText w:val="•"/>
      <w:lvlJc w:val="left"/>
      <w:pPr>
        <w:ind w:left="7291" w:hanging="120"/>
      </w:pPr>
    </w:lvl>
  </w:abstractNum>
  <w:abstractNum w:abstractNumId="3" w15:restartNumberingAfterBreak="0">
    <w:nsid w:val="0000047A"/>
    <w:multiLevelType w:val="hybridMultilevel"/>
    <w:tmpl w:val="0000047A"/>
    <w:lvl w:ilvl="0" w:tplc="FFFFFFFF">
      <w:start w:val="1"/>
      <w:numFmt w:val="bullet"/>
      <w:lvlText w:val="•"/>
      <w:lvlJc w:val="left"/>
      <w:pPr>
        <w:ind w:left="362" w:hanging="480"/>
      </w:pPr>
      <w:rPr>
        <w:rFonts w:ascii="Arial" w:eastAsia="SimSun" w:hAnsi="Arial"/>
        <w:sz w:val="22"/>
      </w:rPr>
    </w:lvl>
    <w:lvl w:ilvl="1" w:tplc="FFFFFFFF">
      <w:start w:val="1"/>
      <w:numFmt w:val="bullet"/>
      <w:lvlText w:val="•"/>
      <w:lvlJc w:val="left"/>
      <w:pPr>
        <w:ind w:left="1217" w:hanging="480"/>
      </w:pPr>
    </w:lvl>
    <w:lvl w:ilvl="2" w:tplc="FFFFFFFF">
      <w:start w:val="1"/>
      <w:numFmt w:val="bullet"/>
      <w:lvlText w:val="•"/>
      <w:lvlJc w:val="left"/>
      <w:pPr>
        <w:ind w:left="2074" w:hanging="480"/>
      </w:pPr>
    </w:lvl>
    <w:lvl w:ilvl="3" w:tplc="FFFFFFFF">
      <w:start w:val="1"/>
      <w:numFmt w:val="bullet"/>
      <w:lvlText w:val="•"/>
      <w:lvlJc w:val="left"/>
      <w:pPr>
        <w:ind w:left="2932" w:hanging="480"/>
      </w:pPr>
    </w:lvl>
    <w:lvl w:ilvl="4" w:tplc="FFFFFFFF">
      <w:start w:val="1"/>
      <w:numFmt w:val="bullet"/>
      <w:lvlText w:val="•"/>
      <w:lvlJc w:val="left"/>
      <w:pPr>
        <w:ind w:left="3789" w:hanging="480"/>
      </w:pPr>
    </w:lvl>
    <w:lvl w:ilvl="5" w:tplc="FFFFFFFF">
      <w:start w:val="1"/>
      <w:numFmt w:val="bullet"/>
      <w:lvlText w:val="•"/>
      <w:lvlJc w:val="left"/>
      <w:pPr>
        <w:ind w:left="4647" w:hanging="480"/>
      </w:pPr>
    </w:lvl>
    <w:lvl w:ilvl="6" w:tplc="FFFFFFFF">
      <w:start w:val="1"/>
      <w:numFmt w:val="bullet"/>
      <w:lvlText w:val="•"/>
      <w:lvlJc w:val="left"/>
      <w:pPr>
        <w:ind w:left="5504" w:hanging="480"/>
      </w:pPr>
    </w:lvl>
    <w:lvl w:ilvl="7" w:tplc="FFFFFFFF">
      <w:start w:val="1"/>
      <w:numFmt w:val="bullet"/>
      <w:lvlText w:val="•"/>
      <w:lvlJc w:val="left"/>
      <w:pPr>
        <w:ind w:left="6361" w:hanging="480"/>
      </w:pPr>
    </w:lvl>
    <w:lvl w:ilvl="8" w:tplc="FFFFFFFF">
      <w:start w:val="1"/>
      <w:numFmt w:val="bullet"/>
      <w:lvlText w:val="•"/>
      <w:lvlJc w:val="left"/>
      <w:pPr>
        <w:ind w:left="7219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0"/>
    <w:rsid w:val="000672DB"/>
    <w:rsid w:val="004A63F4"/>
    <w:rsid w:val="007E7580"/>
    <w:rsid w:val="009A5016"/>
    <w:rsid w:val="00B1353B"/>
    <w:rsid w:val="00B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3D84-377F-472B-BCD5-05838840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</w:rPr>
  </w:style>
  <w:style w:type="paragraph" w:styleId="Heading1">
    <w:name w:val="heading 1"/>
    <w:basedOn w:val="Normal"/>
    <w:link w:val="Heading1Char"/>
    <w:uiPriority w:val="1"/>
    <w:qFormat/>
    <w:rsid w:val="007E7580"/>
    <w:pPr>
      <w:outlineLvl w:val="0"/>
    </w:pPr>
    <w:rPr>
      <w:sz w:val="159"/>
      <w:szCs w:val="24"/>
    </w:rPr>
  </w:style>
  <w:style w:type="paragraph" w:styleId="Heading2">
    <w:name w:val="heading 2"/>
    <w:basedOn w:val="Normal"/>
    <w:link w:val="Heading2Char"/>
    <w:uiPriority w:val="1"/>
    <w:qFormat/>
    <w:rsid w:val="007E7580"/>
    <w:pPr>
      <w:spacing w:line="521" w:lineRule="exact"/>
      <w:outlineLvl w:val="1"/>
    </w:pPr>
    <w:rPr>
      <w:sz w:val="46"/>
      <w:szCs w:val="24"/>
    </w:rPr>
  </w:style>
  <w:style w:type="paragraph" w:styleId="Heading3">
    <w:name w:val="heading 3"/>
    <w:basedOn w:val="Normal"/>
    <w:link w:val="Heading3Char"/>
    <w:uiPriority w:val="1"/>
    <w:qFormat/>
    <w:rsid w:val="007E7580"/>
    <w:pPr>
      <w:ind w:left="240"/>
      <w:outlineLvl w:val="2"/>
    </w:pPr>
    <w:rPr>
      <w:b/>
      <w:szCs w:val="24"/>
    </w:rPr>
  </w:style>
  <w:style w:type="paragraph" w:styleId="Heading4">
    <w:name w:val="heading 4"/>
    <w:basedOn w:val="Normal"/>
    <w:link w:val="Heading4Char"/>
    <w:uiPriority w:val="1"/>
    <w:qFormat/>
    <w:rsid w:val="007E7580"/>
    <w:pPr>
      <w:ind w:left="344" w:hanging="245"/>
      <w:outlineLvl w:val="3"/>
    </w:pPr>
    <w:rPr>
      <w:b/>
      <w:i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7580"/>
    <w:rPr>
      <w:rFonts w:ascii="Arial" w:eastAsia="SimSun" w:hAnsi="Arial" w:cs="Times New Roman"/>
      <w:sz w:val="159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7E7580"/>
    <w:rPr>
      <w:rFonts w:ascii="Arial" w:eastAsia="SimSun" w:hAnsi="Arial" w:cs="Times New Roman"/>
      <w:sz w:val="4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7E7580"/>
    <w:rPr>
      <w:rFonts w:ascii="Arial" w:eastAsia="SimSun" w:hAnsi="Arial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E7580"/>
    <w:rPr>
      <w:rFonts w:ascii="Arial" w:eastAsia="SimSun" w:hAnsi="Arial" w:cs="Times New Roman"/>
      <w:b/>
      <w:i/>
      <w:szCs w:val="24"/>
      <w:u w:val="single"/>
    </w:rPr>
  </w:style>
  <w:style w:type="paragraph" w:customStyle="1" w:styleId="TableParagraph">
    <w:name w:val="Table Paragraph"/>
    <w:basedOn w:val="Normal"/>
    <w:uiPriority w:val="1"/>
    <w:unhideWhenUsed/>
    <w:qFormat/>
    <w:rsid w:val="007E758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E7580"/>
    <w:pPr>
      <w:ind w:left="741" w:hanging="3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E7580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7580"/>
    <w:rPr>
      <w:rFonts w:ascii="Arial" w:eastAsia="SimSun" w:hAnsi="Arial" w:cs="Times New Roman"/>
      <w:szCs w:val="24"/>
    </w:rPr>
  </w:style>
  <w:style w:type="paragraph" w:styleId="NormalWeb">
    <w:name w:val="Normal (Web)"/>
    <w:basedOn w:val="Normal"/>
    <w:uiPriority w:val="99"/>
    <w:unhideWhenUsed/>
    <w:rsid w:val="007E75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2237</Words>
  <Characters>12756</Characters>
  <Application>Microsoft Office Word</Application>
  <DocSecurity>0</DocSecurity>
  <Lines>106</Lines>
  <Paragraphs>29</Paragraphs>
  <ScaleCrop>false</ScaleCrop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Djuknic</dc:creator>
  <cp:keywords/>
  <dc:description/>
  <cp:lastModifiedBy>Natasa Djuknic</cp:lastModifiedBy>
  <cp:revision>1</cp:revision>
  <dcterms:created xsi:type="dcterms:W3CDTF">2026-06-12T07:54:00Z</dcterms:created>
  <dcterms:modified xsi:type="dcterms:W3CDTF">2026-06-12T07:54:00Z</dcterms:modified>
</cp:coreProperties>
</file>