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spacing w:line="240" w:lineRule="auto"/>
        <w:rPr>
          <w:rFonts w:ascii="Arial" w:cs="Arial" w:eastAsia="Arial" w:hAnsi="Arial"/>
          <w:color w:val="ff0000"/>
        </w:rPr>
        <w:sectPr>
          <w:headerReference r:id="rId7" w:type="first"/>
          <w:footerReference r:id="rId8" w:type="default"/>
          <w:footerReference r:id="rId9" w:type="first"/>
          <w:pgSz w:h="12240" w:w="15840" w:orient="landscape"/>
          <w:pgMar w:bottom="1440" w:top="1440" w:left="1440" w:right="1538" w:header="720" w:footer="720"/>
          <w:pgNumType w:start="1"/>
          <w:cols w:equalWidth="0" w:num="2">
            <w:col w:space="720" w:w="6071"/>
            <w:col w:space="0" w:w="6071"/>
          </w:cols>
          <w:titlePg w:val="1"/>
        </w:sectPr>
      </w:pPr>
      <w:bookmarkStart w:colFirst="0" w:colLast="0" w:name="_heading=h.yw3aohfwo88w" w:id="0"/>
      <w:bookmarkEnd w:id="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line="240" w:lineRule="auto"/>
        <w:rPr>
          <w:rFonts w:ascii="Arial" w:cs="Arial" w:eastAsia="Arial" w:hAnsi="Arial"/>
          <w:color w:val="ff0000"/>
        </w:rPr>
        <w:sectPr>
          <w:type w:val="continuous"/>
          <w:pgSz w:h="12240" w:w="15840" w:orient="landscape"/>
          <w:pgMar w:bottom="1440" w:top="1440" w:left="1440" w:right="1538" w:header="720" w:footer="720"/>
          <w:cols w:equalWidth="0" w:num="2">
            <w:col w:space="720" w:w="6071"/>
            <w:col w:space="0" w:w="6071"/>
          </w:cols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line="240" w:lineRule="auto"/>
        <w:rPr>
          <w:rFonts w:ascii="Arial" w:cs="Arial" w:eastAsia="Arial" w:hAnsi="Arial"/>
          <w:color w:val="ff0000"/>
        </w:rPr>
        <w:sectPr>
          <w:type w:val="continuous"/>
          <w:pgSz w:h="12240" w:w="15840" w:orient="landscape"/>
          <w:pgMar w:bottom="1440" w:top="1440" w:left="1440" w:right="1538" w:header="720" w:footer="720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line="240" w:lineRule="auto"/>
        <w:rPr>
          <w:rFonts w:ascii="Arial" w:cs="Arial" w:eastAsia="Arial" w:hAnsi="Arial"/>
          <w:color w:val="ff0000"/>
          <w:sz w:val="48"/>
          <w:szCs w:val="48"/>
        </w:rPr>
        <w:sectPr>
          <w:type w:val="continuous"/>
          <w:pgSz w:h="12240" w:w="15840" w:orient="landscape"/>
          <w:pgMar w:bottom="1440" w:top="1440" w:left="1440" w:right="1538" w:header="720" w:footer="720"/>
          <w:cols w:equalWidth="0" w:num="2">
            <w:col w:space="720" w:w="6071"/>
            <w:col w:space="0" w:w="6071"/>
          </w:cols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line="240" w:lineRule="auto"/>
        <w:rPr>
          <w:rFonts w:ascii="Arial" w:cs="Arial" w:eastAsia="Arial" w:hAnsi="Arial"/>
          <w:sz w:val="48"/>
          <w:szCs w:val="48"/>
        </w:rPr>
        <w:sectPr>
          <w:type w:val="continuous"/>
          <w:pgSz w:h="12240" w:w="15840" w:orient="landscape"/>
          <w:pgMar w:bottom="1440" w:top="1440" w:left="1440" w:right="1538" w:header="720" w:footer="720"/>
          <w:cols w:equalWidth="0" w:num="2">
            <w:col w:space="720" w:w="6071"/>
            <w:col w:space="0" w:w="6071"/>
          </w:cols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hd w:fill="4e74a2" w:val="clear"/>
        <w:spacing w:line="240" w:lineRule="auto"/>
        <w:rPr>
          <w:rFonts w:ascii="Barlow" w:cs="Barlow" w:eastAsia="Barlow" w:hAnsi="Barlow"/>
          <w:b w:val="1"/>
          <w:bCs w:val="1"/>
          <w:color w:val="ffffff"/>
          <w:sz w:val="48"/>
          <w:szCs w:val="48"/>
        </w:rPr>
        <w:sectPr>
          <w:type w:val="continuous"/>
          <w:pgSz w:h="12240" w:w="15840" w:orient="landscape"/>
          <w:pgMar w:bottom="1440" w:top="990" w:left="1440" w:right="1538" w:header="720" w:footer="90"/>
          <w:cols w:equalWidth="0" w:num="2">
            <w:col w:space="720" w:w="6071"/>
            <w:col w:space="0" w:w="6071"/>
          </w:cols>
        </w:sectPr>
      </w:pPr>
      <w:r w:rsidDel="00000000" w:rsidR="00000000" w:rsidRPr="00000000">
        <w:rPr>
          <w:rFonts w:ascii="Barlow" w:cs="Barlow" w:eastAsia="Barlow" w:hAnsi="Barlow"/>
          <w:b w:val="1"/>
          <w:bCs w:val="1"/>
          <w:color w:val="ffffff"/>
          <w:sz w:val="48"/>
          <w:szCs w:val="48"/>
          <w:rtl w:val="0"/>
        </w:rPr>
        <w:t xml:space="preserve">KONKURSNI ZADATAK</w:t>
      </w:r>
    </w:p>
    <w:p w:rsidR="00000000" w:rsidDel="00000000" w:rsidP="00000000" w:rsidRDefault="00000000" w:rsidRPr="00000000" w14:paraId="00000007">
      <w:pPr>
        <w:spacing w:after="0" w:line="240" w:lineRule="auto"/>
        <w:rPr>
          <w:rFonts w:ascii="Barlow" w:cs="Barlow" w:eastAsia="Barlow" w:hAnsi="Barlow"/>
          <w:b w:val="1"/>
          <w:bCs w:val="1"/>
          <w:sz w:val="30"/>
          <w:szCs w:val="30"/>
        </w:rPr>
        <w:sectPr>
          <w:type w:val="continuous"/>
          <w:pgSz w:h="12240" w:w="15840" w:orient="landscape"/>
          <w:pgMar w:bottom="1440" w:top="990" w:left="1440" w:right="1538" w:header="720" w:footer="90"/>
        </w:sectPr>
      </w:pPr>
      <w:r w:rsidDel="00000000" w:rsidR="00000000" w:rsidRPr="00000000">
        <w:rPr>
          <w:rFonts w:ascii="Barlow" w:cs="Barlow" w:eastAsia="Barlow" w:hAnsi="Barlow"/>
          <w:b w:val="1"/>
          <w:bCs w:val="1"/>
          <w:sz w:val="30"/>
          <w:szCs w:val="30"/>
          <w:rtl w:val="0"/>
        </w:rPr>
        <w:t xml:space="preserve">KONKURS ZA IDEJNO ARHITEKTONSKO RJEŠENJE ZA NADOGRADNJU POSTOJEĆEG OBJEKTA ADVOKATSKE KOMORE CRNE GORE U PODGORICI</w:t>
      </w:r>
    </w:p>
    <w:p w:rsidR="00000000" w:rsidDel="00000000" w:rsidP="00000000" w:rsidRDefault="00000000" w:rsidRPr="00000000" w14:paraId="00000008">
      <w:pPr>
        <w:spacing w:after="0" w:line="240" w:lineRule="auto"/>
        <w:rPr>
          <w:rFonts w:ascii="Barlow" w:cs="Barlow" w:eastAsia="Barlow" w:hAnsi="Barlow"/>
          <w:b w:val="1"/>
          <w:bCs w:val="1"/>
          <w:color w:val="ff0000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spacing w:line="240" w:lineRule="auto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pacing w:line="240" w:lineRule="auto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spacing w:line="240" w:lineRule="auto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line="240" w:lineRule="auto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line="240" w:lineRule="auto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spacing w:line="240" w:lineRule="auto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spacing w:line="240" w:lineRule="auto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spacing w:line="240" w:lineRule="auto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spacing w:line="240" w:lineRule="auto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spacing w:line="240" w:lineRule="auto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spacing w:line="240" w:lineRule="auto"/>
        <w:ind w:firstLine="360"/>
        <w:rPr>
          <w:rFonts w:ascii="Barlow" w:cs="Barlow" w:eastAsia="Barlow" w:hAnsi="Barlow"/>
          <w:b w:val="1"/>
          <w:b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spacing w:line="240" w:lineRule="auto"/>
        <w:ind w:firstLine="360"/>
        <w:rPr>
          <w:rFonts w:ascii="Barlow" w:cs="Barlow" w:eastAsia="Barlow" w:hAnsi="Barlow"/>
          <w:b w:val="1"/>
          <w:b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spacing w:line="240" w:lineRule="auto"/>
        <w:ind w:firstLine="360"/>
        <w:rPr>
          <w:rFonts w:ascii="Barlow" w:cs="Barlow" w:eastAsia="Barlow" w:hAnsi="Barlow"/>
          <w:b w:val="1"/>
          <w:b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spacing w:line="240" w:lineRule="auto"/>
        <w:ind w:firstLine="360"/>
        <w:rPr>
          <w:rFonts w:ascii="Barlow" w:cs="Barlow" w:eastAsia="Barlow" w:hAnsi="Barlow"/>
          <w:b w:val="1"/>
          <w:b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spacing w:line="240" w:lineRule="auto"/>
        <w:ind w:firstLine="360"/>
        <w:rPr>
          <w:rFonts w:ascii="Barlow" w:cs="Barlow" w:eastAsia="Barlow" w:hAnsi="Barlow"/>
          <w:b w:val="1"/>
          <w:b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spacing w:line="240" w:lineRule="auto"/>
        <w:ind w:firstLine="360"/>
        <w:rPr>
          <w:rFonts w:ascii="Barlow" w:cs="Barlow" w:eastAsia="Barlow" w:hAnsi="Barlow"/>
          <w:b w:val="1"/>
          <w:bCs w:val="1"/>
          <w:sz w:val="32"/>
          <w:szCs w:val="32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sz w:val="32"/>
          <w:szCs w:val="32"/>
          <w:rtl w:val="0"/>
        </w:rPr>
        <w:t xml:space="preserve">SADRŽAJ</w:t>
      </w:r>
    </w:p>
    <w:p w:rsidR="00000000" w:rsidDel="00000000" w:rsidP="00000000" w:rsidRDefault="00000000" w:rsidRPr="00000000" w14:paraId="00000019">
      <w:pPr>
        <w:spacing w:line="240" w:lineRule="auto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numPr>
          <w:ilvl w:val="0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709" w:hanging="360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sz w:val="28"/>
          <w:szCs w:val="28"/>
          <w:rtl w:val="0"/>
        </w:rPr>
        <w:t xml:space="preserve">UVOD</w:t>
      </w:r>
    </w:p>
    <w:p w:rsidR="00000000" w:rsidDel="00000000" w:rsidP="00000000" w:rsidRDefault="00000000" w:rsidRPr="00000000" w14:paraId="0000001B">
      <w:pPr>
        <w:numPr>
          <w:ilvl w:val="1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567" w:hanging="432"/>
        <w:rPr>
          <w:rFonts w:ascii="Barlow" w:cs="Barlow" w:eastAsia="Barlow" w:hAnsi="Barlow"/>
          <w:b w:val="1"/>
          <w:bCs w:val="1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rtl w:val="0"/>
        </w:rPr>
        <w:t xml:space="preserve">Predmet konkursa</w:t>
      </w:r>
    </w:p>
    <w:p w:rsidR="00000000" w:rsidDel="00000000" w:rsidP="00000000" w:rsidRDefault="00000000" w:rsidRPr="00000000" w14:paraId="0000001C">
      <w:pPr>
        <w:numPr>
          <w:ilvl w:val="1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567" w:hanging="432"/>
        <w:rPr>
          <w:rFonts w:ascii="Barlow" w:cs="Barlow" w:eastAsia="Barlow" w:hAnsi="Barlow"/>
          <w:b w:val="1"/>
          <w:bCs w:val="1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rtl w:val="0"/>
        </w:rPr>
        <w:t xml:space="preserve">Cilj konkursa </w:t>
      </w:r>
    </w:p>
    <w:p w:rsidR="00000000" w:rsidDel="00000000" w:rsidP="00000000" w:rsidRDefault="00000000" w:rsidRPr="00000000" w14:paraId="0000001D">
      <w:pPr>
        <w:numPr>
          <w:ilvl w:val="1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567" w:hanging="432"/>
        <w:rPr>
          <w:rFonts w:ascii="Barlow" w:cs="Barlow" w:eastAsia="Barlow" w:hAnsi="Barlow"/>
          <w:b w:val="1"/>
          <w:bCs w:val="1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rtl w:val="0"/>
        </w:rPr>
        <w:t xml:space="preserve">Zakonski osnov</w:t>
      </w:r>
    </w:p>
    <w:p w:rsidR="00000000" w:rsidDel="00000000" w:rsidP="00000000" w:rsidRDefault="00000000" w:rsidRPr="00000000" w14:paraId="0000001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709" w:hanging="360"/>
        <w:rPr>
          <w:rFonts w:ascii="Barlow" w:cs="Barlow" w:eastAsia="Barlow" w:hAnsi="Barlow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numPr>
          <w:ilvl w:val="0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709" w:hanging="360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sz w:val="28"/>
          <w:szCs w:val="28"/>
          <w:rtl w:val="0"/>
        </w:rPr>
        <w:t xml:space="preserve">LOKACIJA</w:t>
      </w:r>
    </w:p>
    <w:p w:rsidR="00000000" w:rsidDel="00000000" w:rsidP="00000000" w:rsidRDefault="00000000" w:rsidRPr="00000000" w14:paraId="0000002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709" w:hanging="360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numPr>
          <w:ilvl w:val="0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709" w:right="-592" w:hanging="360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sz w:val="28"/>
          <w:szCs w:val="28"/>
          <w:rtl w:val="0"/>
        </w:rPr>
        <w:t xml:space="preserve">USLOVI ZA PROJEKTOVANJE</w:t>
      </w:r>
    </w:p>
    <w:p w:rsidR="00000000" w:rsidDel="00000000" w:rsidP="00000000" w:rsidRDefault="00000000" w:rsidRPr="00000000" w14:paraId="00000022">
      <w:pPr>
        <w:numPr>
          <w:ilvl w:val="1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567" w:hanging="432"/>
        <w:rPr>
          <w:rFonts w:ascii="Barlow" w:cs="Barlow" w:eastAsia="Barlow" w:hAnsi="Barlow"/>
          <w:b w:val="1"/>
          <w:bCs w:val="1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rtl w:val="0"/>
        </w:rPr>
        <w:t xml:space="preserve">Urbanistički parametri </w:t>
      </w:r>
    </w:p>
    <w:p w:rsidR="00000000" w:rsidDel="00000000" w:rsidP="00000000" w:rsidRDefault="00000000" w:rsidRPr="00000000" w14:paraId="00000023">
      <w:pPr>
        <w:numPr>
          <w:ilvl w:val="1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567" w:right="-1014" w:hanging="432"/>
        <w:rPr>
          <w:rFonts w:ascii="Barlow" w:cs="Barlow" w:eastAsia="Barlow" w:hAnsi="Barlow"/>
          <w:b w:val="1"/>
          <w:bCs w:val="1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rtl w:val="0"/>
        </w:rPr>
        <w:t xml:space="preserve">Opšte napomene</w:t>
      </w:r>
    </w:p>
    <w:p w:rsidR="00000000" w:rsidDel="00000000" w:rsidP="00000000" w:rsidRDefault="00000000" w:rsidRPr="00000000" w14:paraId="00000024">
      <w:pPr>
        <w:numPr>
          <w:ilvl w:val="1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567" w:right="-1014" w:hanging="432"/>
        <w:rPr>
          <w:rFonts w:ascii="Barlow" w:cs="Barlow" w:eastAsia="Barlow" w:hAnsi="Barlow"/>
          <w:b w:val="1"/>
          <w:bCs w:val="1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rtl w:val="0"/>
        </w:rPr>
        <w:t xml:space="preserve">Pejzažno oblikovanje i partnerno </w:t>
      </w:r>
    </w:p>
    <w:p w:rsidR="00000000" w:rsidDel="00000000" w:rsidP="00000000" w:rsidRDefault="00000000" w:rsidRPr="00000000" w14:paraId="0000002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567" w:right="-1014" w:firstLine="0"/>
        <w:rPr>
          <w:rFonts w:ascii="Barlow" w:cs="Barlow" w:eastAsia="Barlow" w:hAnsi="Barlow"/>
          <w:b w:val="1"/>
          <w:bCs w:val="1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rtl w:val="0"/>
        </w:rPr>
        <w:t xml:space="preserve">uređenje</w:t>
      </w:r>
    </w:p>
    <w:p w:rsidR="00000000" w:rsidDel="00000000" w:rsidP="00000000" w:rsidRDefault="00000000" w:rsidRPr="00000000" w14:paraId="00000026">
      <w:pPr>
        <w:numPr>
          <w:ilvl w:val="1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567" w:right="-1014" w:hanging="432"/>
        <w:rPr>
          <w:rFonts w:ascii="Barlow" w:cs="Barlow" w:eastAsia="Barlow" w:hAnsi="Barlow"/>
          <w:b w:val="1"/>
          <w:bCs w:val="1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rtl w:val="0"/>
        </w:rPr>
        <w:t xml:space="preserve">Saobraćajno rješenje</w:t>
      </w:r>
    </w:p>
    <w:p w:rsidR="00000000" w:rsidDel="00000000" w:rsidP="00000000" w:rsidRDefault="00000000" w:rsidRPr="00000000" w14:paraId="00000027">
      <w:pPr>
        <w:numPr>
          <w:ilvl w:val="1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567" w:right="-733" w:hanging="432"/>
        <w:rPr>
          <w:rFonts w:ascii="Barlow" w:cs="Barlow" w:eastAsia="Barlow" w:hAnsi="Barlow"/>
          <w:b w:val="1"/>
          <w:bCs w:val="1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rtl w:val="0"/>
        </w:rPr>
        <w:t xml:space="preserve">Konstruktivni sistem</w:t>
      </w:r>
    </w:p>
    <w:p w:rsidR="00000000" w:rsidDel="00000000" w:rsidP="00000000" w:rsidRDefault="00000000" w:rsidRPr="00000000" w14:paraId="00000028">
      <w:pPr>
        <w:numPr>
          <w:ilvl w:val="1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567" w:right="-733" w:hanging="432"/>
        <w:rPr>
          <w:rFonts w:ascii="Barlow" w:cs="Barlow" w:eastAsia="Barlow" w:hAnsi="Barlow"/>
          <w:b w:val="1"/>
          <w:bCs w:val="1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rtl w:val="0"/>
        </w:rPr>
        <w:t xml:space="preserve">Arhitektonsko oblikovanje i materijalizacija</w:t>
      </w:r>
    </w:p>
    <w:p w:rsidR="00000000" w:rsidDel="00000000" w:rsidP="00000000" w:rsidRDefault="00000000" w:rsidRPr="00000000" w14:paraId="00000029">
      <w:pPr>
        <w:numPr>
          <w:ilvl w:val="1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567" w:right="-733" w:hanging="432"/>
        <w:rPr>
          <w:rFonts w:ascii="Barlow" w:cs="Barlow" w:eastAsia="Barlow" w:hAnsi="Barlow"/>
          <w:b w:val="1"/>
          <w:bCs w:val="1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rtl w:val="0"/>
        </w:rPr>
        <w:t xml:space="preserve">Arhitektonski aspekti energetske efikasnosti</w:t>
      </w:r>
    </w:p>
    <w:p w:rsidR="00000000" w:rsidDel="00000000" w:rsidP="00000000" w:rsidRDefault="00000000" w:rsidRPr="00000000" w14:paraId="0000002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709" w:hanging="360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numPr>
          <w:ilvl w:val="0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709" w:hanging="360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sz w:val="28"/>
          <w:szCs w:val="28"/>
          <w:rtl w:val="0"/>
        </w:rPr>
        <w:t xml:space="preserve">FUNKCIONALNI ASPEKTI </w:t>
      </w:r>
    </w:p>
    <w:p w:rsidR="00000000" w:rsidDel="00000000" w:rsidP="00000000" w:rsidRDefault="00000000" w:rsidRPr="00000000" w14:paraId="0000002C">
      <w:pPr>
        <w:numPr>
          <w:ilvl w:val="0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709" w:hanging="360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sz w:val="28"/>
          <w:szCs w:val="28"/>
          <w:rtl w:val="0"/>
        </w:rPr>
        <w:t xml:space="preserve">INVESTICIJA </w:t>
      </w:r>
    </w:p>
    <w:p w:rsidR="00000000" w:rsidDel="00000000" w:rsidP="00000000" w:rsidRDefault="00000000" w:rsidRPr="00000000" w14:paraId="0000002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418" w:hanging="360"/>
        <w:rPr>
          <w:rFonts w:ascii="Barlow" w:cs="Barlow" w:eastAsia="Barlow" w:hAnsi="Barlow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numPr>
          <w:ilvl w:val="0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709" w:hanging="360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sz w:val="28"/>
          <w:szCs w:val="28"/>
          <w:rtl w:val="0"/>
        </w:rPr>
        <w:t xml:space="preserve">KONKURSNI MATERIJAL</w:t>
      </w:r>
    </w:p>
    <w:p w:rsidR="00000000" w:rsidDel="00000000" w:rsidP="00000000" w:rsidRDefault="00000000" w:rsidRPr="00000000" w14:paraId="0000002F">
      <w:pPr>
        <w:numPr>
          <w:ilvl w:val="1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418" w:hanging="360"/>
        <w:rPr>
          <w:rFonts w:ascii="Barlow" w:cs="Barlow" w:eastAsia="Barlow" w:hAnsi="Barlow"/>
          <w:b w:val="1"/>
          <w:bCs w:val="1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rtl w:val="0"/>
        </w:rPr>
        <w:t xml:space="preserve">Tekstualni dio</w:t>
      </w:r>
    </w:p>
    <w:p w:rsidR="00000000" w:rsidDel="00000000" w:rsidP="00000000" w:rsidRDefault="00000000" w:rsidRPr="00000000" w14:paraId="00000030">
      <w:pPr>
        <w:numPr>
          <w:ilvl w:val="1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418" w:hanging="360"/>
        <w:rPr>
          <w:rFonts w:ascii="Barlow" w:cs="Barlow" w:eastAsia="Barlow" w:hAnsi="Barlow"/>
          <w:b w:val="1"/>
          <w:bCs w:val="1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rtl w:val="0"/>
        </w:rPr>
        <w:t xml:space="preserve">Grafički dio</w:t>
      </w:r>
    </w:p>
    <w:p w:rsidR="00000000" w:rsidDel="00000000" w:rsidP="00000000" w:rsidRDefault="00000000" w:rsidRPr="00000000" w14:paraId="0000003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720" w:firstLine="0"/>
        <w:rPr>
          <w:rFonts w:ascii="Barlow" w:cs="Barlow" w:eastAsia="Barlow" w:hAnsi="Barlow"/>
          <w:b w:val="1"/>
          <w:bCs w:val="1"/>
          <w:sz w:val="28"/>
          <w:szCs w:val="28"/>
        </w:rPr>
      </w:pPr>
      <w:bookmarkStart w:colFirst="0" w:colLast="0" w:name="_heading=h.gjdgxs" w:id="1"/>
      <w:bookmarkEnd w:id="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numPr>
          <w:ilvl w:val="0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709" w:hanging="360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sz w:val="28"/>
          <w:szCs w:val="28"/>
          <w:rtl w:val="0"/>
        </w:rPr>
        <w:t xml:space="preserve">PREPORUKE I PROPISI </w:t>
      </w:r>
    </w:p>
    <w:p w:rsidR="00000000" w:rsidDel="00000000" w:rsidP="00000000" w:rsidRDefault="00000000" w:rsidRPr="00000000" w14:paraId="0000003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720" w:firstLine="0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spacing w:line="240" w:lineRule="auto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spacing w:line="240" w:lineRule="auto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spacing w:line="240" w:lineRule="auto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spacing w:line="240" w:lineRule="auto"/>
        <w:ind w:left="426" w:firstLine="0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spacing w:line="240" w:lineRule="auto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spacing w:line="240" w:lineRule="auto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08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08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08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08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08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08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08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08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08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08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08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08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08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08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08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08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08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08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08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08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08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08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08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08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08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08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08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4e74a2" w:val="clear"/>
        <w:spacing w:after="0" w:line="240" w:lineRule="auto"/>
        <w:ind w:left="720" w:hanging="360"/>
        <w:jc w:val="both"/>
        <w:rPr>
          <w:rFonts w:ascii="Barlow" w:cs="Barlow" w:eastAsia="Barlow" w:hAnsi="Barlow"/>
          <w:b w:val="1"/>
          <w:bCs w:val="1"/>
          <w:color w:val="ffffff"/>
          <w:sz w:val="32"/>
          <w:szCs w:val="32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color w:val="ffffff"/>
          <w:sz w:val="32"/>
          <w:szCs w:val="32"/>
          <w:rtl w:val="0"/>
        </w:rPr>
        <w:t xml:space="preserve">UVOD</w:t>
      </w:r>
    </w:p>
    <w:p w:rsidR="00000000" w:rsidDel="00000000" w:rsidP="00000000" w:rsidRDefault="00000000" w:rsidRPr="00000000" w14:paraId="00000059">
      <w:pPr>
        <w:spacing w:line="240" w:lineRule="auto"/>
        <w:ind w:left="360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spacing w:line="240" w:lineRule="auto"/>
        <w:ind w:left="360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Detaljnim urbanističkim planom Nova Varoš 2 ("Službeni list CG – opštinski propisi", broj 32/18) za predmetni prostor planirana je namjena – sportsko rekreativne površine. </w:t>
      </w:r>
    </w:p>
    <w:p w:rsidR="00000000" w:rsidDel="00000000" w:rsidP="00000000" w:rsidRDefault="00000000" w:rsidRPr="00000000" w14:paraId="0000005B">
      <w:pPr>
        <w:spacing w:after="0" w:line="240" w:lineRule="auto"/>
        <w:ind w:left="36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Osnovna ideja je kreiranje novih sadržaja organizovanih u novonastalom dijelu objekta koji se nalazi uz istočnu i sjevernu tribinu Gradskog stadiona Glavnog grada Podgorice.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spacing w:after="0" w:line="240" w:lineRule="auto"/>
        <w:jc w:val="both"/>
        <w:rPr>
          <w:rFonts w:ascii="Barlow" w:cs="Barlow" w:eastAsia="Barlow" w:hAnsi="Barlow"/>
        </w:rPr>
      </w:pPr>
      <w:bookmarkStart w:colFirst="0" w:colLast="0" w:name="_heading=h.o1affjsy2kz4" w:id="2"/>
      <w:bookmarkEnd w:id="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</w:rPr>
        <w:drawing>
          <wp:anchor allowOverlap="1" behindDoc="0" distB="0" distT="0" distL="114300" distR="114300" hidden="0" layoutInCell="1" locked="0" relativeHeight="0" simplePos="0">
            <wp:simplePos x="0" y="0"/>
            <wp:positionH relativeFrom="page">
              <wp:posOffset>1518920</wp:posOffset>
            </wp:positionH>
            <wp:positionV relativeFrom="page">
              <wp:posOffset>2811145</wp:posOffset>
            </wp:positionV>
            <wp:extent cx="7562850" cy="3723005"/>
            <wp:effectExtent b="0" l="0" r="0" t="0"/>
            <wp:wrapTopAndBottom distB="0" distT="0"/>
            <wp:docPr id="1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0"/>
                    <a:srcRect b="2913" l="0" r="0" t="2913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37230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Imajući u vidu stepen završenosti i zatečeno stanje cjelokupnog prostora koji obuhvata Gradski stadion pod Goricom sa dodatnim sadržajima, postoji potreba da se isti funkcionalno valorizuje. </w:t>
      </w:r>
    </w:p>
    <w:p w:rsidR="00000000" w:rsidDel="00000000" w:rsidP="00000000" w:rsidRDefault="00000000" w:rsidRPr="00000000" w14:paraId="00000060">
      <w:pP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Funkcionalno i vizuelno unapređenje objekta uz istočnu i sjevernu  tribinu predstavljaju primarni cilj razrade ovog objekta.  </w:t>
      </w:r>
    </w:p>
    <w:p w:rsidR="00000000" w:rsidDel="00000000" w:rsidP="00000000" w:rsidRDefault="00000000" w:rsidRPr="00000000" w14:paraId="00000061">
      <w:pP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Na ovaj način se postiže kreiranje uglednog primjera u odnosu na ostale strukture koje predstavljaju sastavni i prostorno neodvojivi dio stadiona pod Goricom.</w:t>
      </w:r>
    </w:p>
    <w:p w:rsidR="00000000" w:rsidDel="00000000" w:rsidP="00000000" w:rsidRDefault="00000000" w:rsidRPr="00000000" w14:paraId="00000063">
      <w:pPr>
        <w:spacing w:after="0" w:line="240" w:lineRule="auto"/>
        <w:ind w:left="360" w:firstLine="0"/>
        <w:jc w:val="right"/>
        <w:rPr>
          <w:rFonts w:ascii="Barlow" w:cs="Barlow" w:eastAsia="Barlow" w:hAnsi="Barlow"/>
          <w:i w:val="1"/>
          <w:iCs w:val="1"/>
          <w:sz w:val="20"/>
          <w:szCs w:val="20"/>
        </w:rPr>
      </w:pPr>
      <w:r w:rsidDel="00000000" w:rsidR="00000000" w:rsidRPr="00000000">
        <w:rPr>
          <w:rFonts w:ascii="Barlow" w:cs="Barlow" w:eastAsia="Barlow" w:hAnsi="Barlow"/>
          <w:i w:val="1"/>
          <w:iCs w:val="1"/>
          <w:sz w:val="20"/>
          <w:szCs w:val="20"/>
          <w:rtl w:val="0"/>
        </w:rPr>
        <w:t xml:space="preserve">        </w:t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452438</wp:posOffset>
                </wp:positionH>
                <wp:positionV relativeFrom="paragraph">
                  <wp:posOffset>1433513</wp:posOffset>
                </wp:positionV>
                <wp:extent cx="657225" cy="304800"/>
                <wp:effectExtent b="0" l="0" r="0" t="0"/>
                <wp:wrapSquare wrapText="bothSides" distB="45720" distT="45720" distL="114300" distR="114300"/>
                <wp:docPr id="8" name=""/>
                <a:graphic>
                  <a:graphicData uri="http://schemas.microsoft.com/office/word/2010/wordprocessingShape">
                    <wps:wsp>
                      <wps:cNvSpPr/>
                      <wps:cNvPr id="9" name="Shape 9"/>
                      <wps:spPr>
                        <a:xfrm>
                          <a:off x="5026913" y="3637125"/>
                          <a:ext cx="638175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Barlow" w:cs="Barlow" w:eastAsia="Barlow" w:hAnsi="Barlow"/>
                                <w:b w:val="0"/>
                                <w:i w:val="1"/>
                                <w:smallCaps w:val="0"/>
                                <w:strike w:val="0"/>
                                <w:color w:val="ffffff"/>
                                <w:sz w:val="20"/>
                                <w:vertAlign w:val="baseline"/>
                              </w:rPr>
                              <w:t xml:space="preserve">lokacija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452438</wp:posOffset>
                </wp:positionH>
                <wp:positionV relativeFrom="paragraph">
                  <wp:posOffset>1433513</wp:posOffset>
                </wp:positionV>
                <wp:extent cx="657225" cy="304800"/>
                <wp:effectExtent b="0" l="0" r="0" t="0"/>
                <wp:wrapSquare wrapText="bothSides" distB="45720" distT="45720" distL="114300" distR="114300"/>
                <wp:docPr id="8" name="image17.png"/>
                <a:graphic>
                  <a:graphicData uri="http://schemas.openxmlformats.org/drawingml/2006/picture">
                    <pic:pic>
                      <pic:nvPicPr>
                        <pic:cNvPr id="0" name="image17.png"/>
                        <pic:cNvPicPr preferRelativeResize="0"/>
                      </pic:nvPicPr>
                      <pic:blipFill>
                        <a:blip r:embed="rId1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57225" cy="3048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64">
      <w:pPr>
        <w:spacing w:after="0" w:line="240" w:lineRule="auto"/>
        <w:ind w:left="360" w:firstLine="0"/>
        <w:jc w:val="right"/>
        <w:rPr>
          <w:rFonts w:ascii="Barlow" w:cs="Barlow" w:eastAsia="Barlow" w:hAnsi="Barlow"/>
          <w:i w:val="1"/>
          <w:iCs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spacing w:after="0" w:line="240" w:lineRule="auto"/>
        <w:ind w:left="360" w:firstLine="0"/>
        <w:jc w:val="right"/>
        <w:rPr>
          <w:rFonts w:ascii="Barlow" w:cs="Barlow" w:eastAsia="Barlow" w:hAnsi="Barlow"/>
          <w:i w:val="1"/>
          <w:iCs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spacing w:after="0" w:line="240" w:lineRule="auto"/>
        <w:ind w:left="360" w:firstLine="0"/>
        <w:jc w:val="right"/>
        <w:rPr>
          <w:rFonts w:ascii="Barlow" w:cs="Barlow" w:eastAsia="Barlow" w:hAnsi="Barlow"/>
          <w:i w:val="1"/>
          <w:iCs w:val="1"/>
          <w:sz w:val="20"/>
          <w:szCs w:val="20"/>
        </w:rPr>
      </w:pPr>
      <w:r w:rsidDel="00000000" w:rsidR="00000000" w:rsidRPr="00000000">
        <w:rPr>
          <w:rFonts w:ascii="Barlow" w:cs="Barlow" w:eastAsia="Barlow" w:hAnsi="Barlow"/>
          <w:i w:val="1"/>
          <w:iCs w:val="1"/>
          <w:sz w:val="20"/>
          <w:szCs w:val="20"/>
          <w:rtl w:val="0"/>
        </w:rPr>
        <w:t xml:space="preserve"> Slika 1. Predmetna lokacija    </w:t>
      </w:r>
    </w:p>
    <w:p w:rsidR="00000000" w:rsidDel="00000000" w:rsidP="00000000" w:rsidRDefault="00000000" w:rsidRPr="00000000" w14:paraId="00000067">
      <w:pPr>
        <w:spacing w:after="0" w:line="240" w:lineRule="auto"/>
        <w:ind w:left="360" w:firstLine="0"/>
        <w:jc w:val="right"/>
        <w:rPr>
          <w:rFonts w:ascii="Barlow" w:cs="Barlow" w:eastAsia="Barlow" w:hAnsi="Barlow"/>
          <w:i w:val="1"/>
          <w:iCs w:val="1"/>
          <w:sz w:val="20"/>
          <w:szCs w:val="20"/>
        </w:rPr>
      </w:pPr>
      <w:r w:rsidDel="00000000" w:rsidR="00000000" w:rsidRPr="00000000">
        <w:rPr>
          <w:rFonts w:ascii="Barlow" w:cs="Barlow" w:eastAsia="Barlow" w:hAnsi="Barlow"/>
          <w:i w:val="1"/>
          <w:iCs w:val="1"/>
          <w:sz w:val="20"/>
          <w:szCs w:val="20"/>
          <w:rtl w:val="0"/>
        </w:rPr>
        <w:t xml:space="preserve">             </w:t>
      </w:r>
    </w:p>
    <w:p w:rsidR="00000000" w:rsidDel="00000000" w:rsidP="00000000" w:rsidRDefault="00000000" w:rsidRPr="00000000" w14:paraId="00000068">
      <w:pPr>
        <w:spacing w:after="0" w:line="240" w:lineRule="auto"/>
        <w:rPr>
          <w:rFonts w:ascii="Barlow" w:cs="Barlow" w:eastAsia="Barlow" w:hAnsi="Barlow"/>
          <w:b w:val="1"/>
          <w:bCs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numPr>
          <w:ilvl w:val="1"/>
          <w:numId w:val="8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leader="none" w:pos="360"/>
          <w:tab w:val="left" w:leader="none" w:pos="810"/>
        </w:tabs>
        <w:spacing w:line="240" w:lineRule="auto"/>
        <w:ind w:left="1080" w:hanging="720"/>
        <w:jc w:val="both"/>
        <w:rPr>
          <w:rFonts w:ascii="Barlow" w:cs="Barlow" w:eastAsia="Barlow" w:hAnsi="Barlow"/>
          <w:b w:val="1"/>
          <w:bCs w:val="1"/>
          <w:color w:val="000000"/>
          <w:sz w:val="28"/>
          <w:szCs w:val="28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color w:val="000000"/>
          <w:sz w:val="28"/>
          <w:szCs w:val="28"/>
          <w:rtl w:val="0"/>
        </w:rPr>
        <w:t xml:space="preserve">Predmet konkursa</w:t>
      </w:r>
    </w:p>
    <w:p w:rsidR="00000000" w:rsidDel="00000000" w:rsidP="00000000" w:rsidRDefault="00000000" w:rsidRPr="00000000" w14:paraId="0000006A">
      <w:pPr>
        <w:spacing w:after="0" w:line="240" w:lineRule="auto"/>
        <w:ind w:left="360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Predmet konkursa je izrada idejnog arhitektonskog rješenja za nadogradnju postojećeg objekta Advokatske komore Crne Gore u Podgorici. Za predmetni prostor planirana je namjena – sportsko rekreativne površine. </w:t>
      </w:r>
    </w:p>
    <w:p w:rsidR="00000000" w:rsidDel="00000000" w:rsidP="00000000" w:rsidRDefault="00000000" w:rsidRPr="00000000" w14:paraId="0000006B">
      <w:pPr>
        <w:spacing w:after="0" w:line="240" w:lineRule="auto"/>
        <w:ind w:left="36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numPr>
          <w:ilvl w:val="1"/>
          <w:numId w:val="8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leader="none" w:pos="360"/>
          <w:tab w:val="left" w:leader="none" w:pos="810"/>
        </w:tabs>
        <w:spacing w:line="240" w:lineRule="auto"/>
        <w:ind w:left="1080" w:hanging="720"/>
        <w:jc w:val="both"/>
        <w:rPr>
          <w:rFonts w:ascii="Barlow" w:cs="Barlow" w:eastAsia="Barlow" w:hAnsi="Barlow"/>
          <w:b w:val="1"/>
          <w:bCs w:val="1"/>
          <w:color w:val="000000"/>
          <w:sz w:val="28"/>
          <w:szCs w:val="28"/>
        </w:rPr>
      </w:pPr>
      <w:bookmarkStart w:colFirst="0" w:colLast="0" w:name="_heading=h.30j0zll" w:id="3"/>
      <w:bookmarkEnd w:id="3"/>
      <w:r w:rsidDel="00000000" w:rsidR="00000000" w:rsidRPr="00000000">
        <w:rPr>
          <w:rFonts w:ascii="Barlow" w:cs="Barlow" w:eastAsia="Barlow" w:hAnsi="Barlow"/>
          <w:b w:val="1"/>
          <w:bCs w:val="1"/>
          <w:color w:val="000000"/>
          <w:sz w:val="28"/>
          <w:szCs w:val="28"/>
          <w:rtl w:val="0"/>
        </w:rPr>
        <w:t xml:space="preserve">Cilj konkursa</w:t>
      </w:r>
    </w:p>
    <w:p w:rsidR="00000000" w:rsidDel="00000000" w:rsidP="00000000" w:rsidRDefault="00000000" w:rsidRPr="00000000" w14:paraId="0000006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leader="none" w:pos="360"/>
          <w:tab w:val="left" w:leader="none" w:pos="810"/>
        </w:tabs>
        <w:spacing w:line="240" w:lineRule="auto"/>
        <w:ind w:left="360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Cilj konkursa je formiranje zasebne funkcionalne cjeline u sklopu Gradskog stadiona pod Goricom pri čemu se vizuelno ne smije narušiti prostorni integritet stadiona čiji je neizostavni oblikovni dio i objekat koji je predmet nadogradnje gdje se posebna pažnja posvećuje interpolaciji sa sjevernom i istočnom fasadom koja je u procesu izgradnje. </w:t>
      </w:r>
    </w:p>
    <w:p w:rsidR="00000000" w:rsidDel="00000000" w:rsidP="00000000" w:rsidRDefault="00000000" w:rsidRPr="00000000" w14:paraId="0000006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leader="none" w:pos="360"/>
          <w:tab w:val="left" w:leader="none" w:pos="810"/>
        </w:tabs>
        <w:spacing w:line="240" w:lineRule="auto"/>
        <w:ind w:left="360" w:firstLine="0"/>
        <w:jc w:val="both"/>
        <w:rPr>
          <w:rFonts w:ascii="Barlow" w:cs="Barlow" w:eastAsia="Barlow" w:hAnsi="Barlow"/>
          <w:b w:val="1"/>
          <w:bCs w:val="1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Objekat teba da predstavlja primjer poboljšanja postojećeg objekta i zatečenog stanja u kojem se isti nalazi a ujedno i da započne trend vizuelnog unapređenja Gradskog stadiona Glavnog grada Podgorice. Shodno smjernicama i propisanim uslovima koji su sastavni dio konkursnog zadatka, kroz razradu idejnog arhitektonskog rješenja treba postići usklađenost sa svim pojedinostima propisanim konkursnim zadatkom.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leader="none" w:pos="360"/>
          <w:tab w:val="left" w:leader="none" w:pos="810"/>
        </w:tabs>
        <w:spacing w:line="240" w:lineRule="auto"/>
        <w:ind w:left="360" w:firstLine="0"/>
        <w:jc w:val="both"/>
        <w:rPr>
          <w:rFonts w:ascii="Barlow" w:cs="Barlow" w:eastAsia="Barlow" w:hAnsi="Barlow"/>
          <w:b w:val="1"/>
          <w:bCs w:val="1"/>
        </w:rPr>
      </w:pPr>
      <w:bookmarkStart w:colFirst="0" w:colLast="0" w:name="_heading=h.jvadypcyhvbt" w:id="4"/>
      <w:bookmarkEnd w:id="4"/>
      <w:r w:rsidDel="00000000" w:rsidR="00000000" w:rsidRPr="00000000">
        <w:rPr>
          <w:rFonts w:ascii="Barlow" w:cs="Barlow" w:eastAsia="Barlow" w:hAnsi="Barlow"/>
          <w:rtl w:val="0"/>
        </w:rPr>
        <w:t xml:space="preserve">Idejno rješenje će poslužiti kao osnov za izradu tehničke dokumentacije za nadogradnju objekta za potrebe Advokatske komore Crne Gore. Za predmetni prostor planirana je namjena – sportsko rekreativne površine. Konkursno rješenje prvenstveno treba odavati utisak pažljivog sagledavanja postojećih prostornih struktura i njihovih potencijala za dalju realizaciju, te poštovati zadatu poziciju sa aspekta repetitivnosti novonastale strukture s obzirom na to da se ista nalazi na jednom od četiri ugla Gradskog stadiona koji nisu predmet konkursa ali podliježu budućim postupcima rekonstrukcije i valorizacije prostora oko i unutar Gradskog stadiona.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spacing w:line="240" w:lineRule="auto"/>
        <w:ind w:left="255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Takođe, neizostavno, kroz dalju razradu se mora posebna pažnja posvetiti prostornoj organizaciji unutrašnjosti objekta. Treba naglastiti maksimalnu iskorišćenost dostupnog korisnog prostora.</w:t>
      </w:r>
    </w:p>
    <w:p w:rsidR="00000000" w:rsidDel="00000000" w:rsidP="00000000" w:rsidRDefault="00000000" w:rsidRPr="00000000" w14:paraId="00000071">
      <w:pPr>
        <w:spacing w:line="240" w:lineRule="auto"/>
        <w:ind w:left="255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Sve potrebne saržaje i opremu je potrebno dimenzionisati u skladu sa važećim normativima i standardima i pravilima struke.</w:t>
      </w:r>
    </w:p>
    <w:p w:rsidR="00000000" w:rsidDel="00000000" w:rsidP="00000000" w:rsidRDefault="00000000" w:rsidRPr="00000000" w14:paraId="00000072">
      <w:pPr>
        <w:spacing w:line="240" w:lineRule="auto"/>
        <w:ind w:left="255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Kroz razradu uz savremeni arhitektonski pristup pri selekciji materijala, oblika i funkcionalnih varijanti, težiti maksimalnoj iskorišćenosti kroz postignut optimalan nivo upotrebljivosti i pristupačnosti za korisnika. Posebna se pažnja treba posvetiti očuvanju prepoznatljivosti osnovne namjene cjelokupne lokacije.</w:t>
      </w:r>
    </w:p>
    <w:p w:rsidR="00000000" w:rsidDel="00000000" w:rsidP="00000000" w:rsidRDefault="00000000" w:rsidRPr="00000000" w14:paraId="00000073">
      <w:pPr>
        <w:numPr>
          <w:ilvl w:val="1"/>
          <w:numId w:val="8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leader="none" w:pos="810"/>
        </w:tabs>
        <w:spacing w:line="240" w:lineRule="auto"/>
        <w:ind w:left="360" w:firstLine="0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sz w:val="28"/>
          <w:szCs w:val="28"/>
          <w:rtl w:val="0"/>
        </w:rPr>
        <w:t xml:space="preserve">Zakonski osnov </w:t>
      </w:r>
    </w:p>
    <w:p w:rsidR="00000000" w:rsidDel="00000000" w:rsidP="00000000" w:rsidRDefault="00000000" w:rsidRPr="00000000" w14:paraId="00000074">
      <w:pPr>
        <w:spacing w:line="240" w:lineRule="auto"/>
        <w:ind w:left="360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Pravni osnov za raspisivanje Konkursa za idejno arhitektonsko rješenje za nadogradnju postojećeg objekta Advokatske komore Crne Gore, sadržan je u članu 15 </w:t>
      </w:r>
      <w:r w:rsidDel="00000000" w:rsidR="00000000" w:rsidRPr="00000000">
        <w:rPr>
          <w:rFonts w:ascii="Barlow" w:cs="Barlow" w:eastAsia="Barlow" w:hAnsi="Barlow"/>
          <w:i w:val="1"/>
          <w:iCs w:val="1"/>
          <w:rtl w:val="0"/>
        </w:rPr>
        <w:t xml:space="preserve">Zakona o izgradnji objekata (“Službeni list CG”, br. 19/25)</w:t>
      </w:r>
      <w:r w:rsidDel="00000000" w:rsidR="00000000" w:rsidRPr="00000000">
        <w:rPr>
          <w:rFonts w:ascii="Barlow" w:cs="Barlow" w:eastAsia="Barlow" w:hAnsi="Barlow"/>
          <w:rtl w:val="0"/>
        </w:rPr>
        <w:t xml:space="preserve">. </w:t>
      </w:r>
    </w:p>
    <w:p w:rsidR="00000000" w:rsidDel="00000000" w:rsidP="00000000" w:rsidRDefault="00000000" w:rsidRPr="00000000" w14:paraId="00000075">
      <w:pPr>
        <w:spacing w:line="240" w:lineRule="auto"/>
        <w:ind w:left="360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Članom 15 ovog Zakona, propisano je da se za javne objekte za potrebe državnih organa i lokalne samouprave koji su u državnoj svojini, obavezno raspisuje javni konkurs,</w:t>
      </w:r>
      <w:r w:rsidDel="00000000" w:rsidR="00000000" w:rsidRPr="00000000">
        <w:rPr>
          <w:rFonts w:ascii="Barlow" w:cs="Barlow" w:eastAsia="Barlow" w:hAnsi="Barlow"/>
          <w:b w:val="1"/>
          <w:bCs w:val="1"/>
          <w:rtl w:val="0"/>
        </w:rPr>
        <w:t xml:space="preserve"> </w:t>
      </w:r>
      <w:r w:rsidDel="00000000" w:rsidR="00000000" w:rsidRPr="00000000">
        <w:rPr>
          <w:rFonts w:ascii="Barlow" w:cs="Barlow" w:eastAsia="Barlow" w:hAnsi="Barlow"/>
          <w:rtl w:val="0"/>
        </w:rPr>
        <w:t xml:space="preserve">u skladu sa urbanističko-tehničkim uslovima. Javni konkurs može biti sproveden i za druge lokacije na zahtjev investitora.</w:t>
      </w:r>
    </w:p>
    <w:p w:rsidR="00000000" w:rsidDel="00000000" w:rsidP="00000000" w:rsidRDefault="00000000" w:rsidRPr="00000000" w14:paraId="00000076">
      <w:pPr>
        <w:spacing w:line="240" w:lineRule="auto"/>
        <w:ind w:left="360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S tim u vezi, Ministarstvo prostornog planiranja, urbanizma i državne imovine u saradnji sa Advokatskom komorom Crne Gore, pripremilo je konkursnu dokumentaciju za potrebe raspisivanja Konkursa za idejno arhitektonsko rješenje za nadogradnju postojećeg objekta Advokatske komore Crne Gore.</w:t>
      </w:r>
    </w:p>
    <w:p w:rsidR="00000000" w:rsidDel="00000000" w:rsidP="00000000" w:rsidRDefault="00000000" w:rsidRPr="00000000" w14:paraId="00000077">
      <w:pPr>
        <w:spacing w:line="240" w:lineRule="auto"/>
        <w:ind w:left="360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spacing w:line="240" w:lineRule="auto"/>
        <w:ind w:left="360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4e74a2" w:val="clear"/>
        <w:spacing w:line="240" w:lineRule="auto"/>
        <w:ind w:left="720" w:hanging="360"/>
        <w:jc w:val="both"/>
        <w:rPr>
          <w:rFonts w:ascii="Barlow" w:cs="Barlow" w:eastAsia="Barlow" w:hAnsi="Barlow"/>
          <w:b w:val="1"/>
          <w:bCs w:val="1"/>
          <w:color w:val="ffffff"/>
          <w:sz w:val="32"/>
          <w:szCs w:val="32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color w:val="ffffff"/>
          <w:sz w:val="32"/>
          <w:szCs w:val="32"/>
          <w:rtl w:val="0"/>
        </w:rPr>
        <w:t xml:space="preserve">LOKACIJA</w:t>
      </w:r>
    </w:p>
    <w:p w:rsidR="00000000" w:rsidDel="00000000" w:rsidP="00000000" w:rsidRDefault="00000000" w:rsidRPr="00000000" w14:paraId="0000007A">
      <w:pPr>
        <w:spacing w:line="240" w:lineRule="auto"/>
        <w:ind w:left="360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spacing w:line="240" w:lineRule="auto"/>
        <w:ind w:left="36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U zahvatu Detaljnog-urbanističkog plana Nova Varoš 2, UP 1 u okviru namjene sportsko rekreativne površine</w:t>
      </w:r>
      <w:r w:rsidDel="00000000" w:rsidR="00000000" w:rsidRPr="00000000">
        <w:rPr>
          <w:rFonts w:ascii="Barlow" w:cs="Barlow" w:eastAsia="Barlow" w:hAnsi="Barlow"/>
          <w:color w:val="ff0000"/>
          <w:rtl w:val="0"/>
        </w:rPr>
        <w:t xml:space="preserve"> </w:t>
      </w:r>
      <w:r w:rsidDel="00000000" w:rsidR="00000000" w:rsidRPr="00000000">
        <w:rPr>
          <w:rFonts w:ascii="Barlow" w:cs="Barlow" w:eastAsia="Barlow" w:hAnsi="Barlow"/>
          <w:rtl w:val="0"/>
        </w:rPr>
        <w:t xml:space="preserve">izdati su  urbanističko tehnički uslovi, priloženi u okviru konkursnog materijala, za katastarsku parcelu br. 2253, KO Podgorica II, evidentiranu u listu nepokretnosti 2324-prepis KO Podgorica II, Glavni grad Podgorica.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spacing w:line="240" w:lineRule="auto"/>
        <w:ind w:left="36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Na predmetnoj lokaciji se nalazi izgrađen objekat evidentirane spratnosti Po+P+1, za koji je potrebno konkursnim arhitektonskim rješenjem predvidjeti nadogradnju. Postojeći objekat se nalazi između istočne i sjeverne tribine, na uglu interne saobraćajnice koja vodi ka brdu Gorica,</w:t>
      </w:r>
      <w:r w:rsidDel="00000000" w:rsidR="00000000" w:rsidRPr="00000000">
        <w:rPr>
          <w:rFonts w:ascii="Barlow" w:cs="Barlow" w:eastAsia="Barlow" w:hAnsi="Barlow"/>
          <w:color w:val="ff0000"/>
          <w:rtl w:val="0"/>
        </w:rPr>
        <w:t xml:space="preserve"> </w:t>
      </w:r>
      <w:r w:rsidDel="00000000" w:rsidR="00000000" w:rsidRPr="00000000">
        <w:rPr>
          <w:rFonts w:ascii="Barlow" w:cs="Barlow" w:eastAsia="Barlow" w:hAnsi="Barlow"/>
          <w:rtl w:val="0"/>
        </w:rPr>
        <w:t xml:space="preserve">kao zasebna funkcionalna cjelina koja svojom strukturom čini dio Gradskog stadiona.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spacing w:line="240" w:lineRule="auto"/>
        <w:ind w:left="360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U neporednoj blizini u odnosu na predmetnu lokaciju nalaze se razni sadržaji društvenog karaktera.</w:t>
      </w:r>
      <w:r w:rsidDel="00000000" w:rsidR="00000000" w:rsidRPr="00000000">
        <w:rPr>
          <w:rFonts w:ascii="Barlow" w:cs="Barlow" w:eastAsia="Barlow" w:hAnsi="Barlow"/>
          <w:color w:val="ff0000"/>
          <w:rtl w:val="0"/>
        </w:rPr>
        <w:t xml:space="preserve"> </w:t>
      </w:r>
    </w:p>
    <w:p w:rsidR="00000000" w:rsidDel="00000000" w:rsidP="00000000" w:rsidRDefault="00000000" w:rsidRPr="00000000" w14:paraId="0000007E">
      <w:pPr>
        <w:spacing w:line="240" w:lineRule="auto"/>
        <w:ind w:left="360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U okolini postoje objekti pretežno stambene namjene, kao i jedan od gradskih repera, crkva Svetog Đorđa u podnožju brda Gorica, rezidencijalni kompleks u neporednoj blizini čija je pretežna namjena stanovanje, kao i  KIC ''Budo Tomović'', Ministarstvo prosvjete Crne Gore, obrazovna ustanova Gimnazija Slobodan Škerović i zdravstvena ustanova,  objekat hitne pomoći.</w:t>
      </w:r>
    </w:p>
    <w:p w:rsidR="00000000" w:rsidDel="00000000" w:rsidP="00000000" w:rsidRDefault="00000000" w:rsidRPr="00000000" w14:paraId="0000007F">
      <w:pPr>
        <w:spacing w:after="0" w:line="240" w:lineRule="auto"/>
        <w:ind w:left="349" w:firstLine="0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spacing w:after="0" w:line="240" w:lineRule="auto"/>
        <w:ind w:left="349" w:firstLine="0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spacing w:after="0" w:line="240" w:lineRule="auto"/>
        <w:ind w:left="349" w:firstLine="0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spacing w:after="0" w:line="240" w:lineRule="auto"/>
        <w:ind w:left="349" w:firstLine="0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spacing w:after="0" w:line="240" w:lineRule="auto"/>
        <w:ind w:left="349" w:firstLine="0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spacing w:after="0" w:line="240" w:lineRule="auto"/>
        <w:ind w:left="349" w:firstLine="0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spacing w:after="0" w:line="240" w:lineRule="auto"/>
        <w:ind w:left="349" w:firstLine="0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spacing w:after="0" w:line="240" w:lineRule="auto"/>
        <w:ind w:left="349" w:firstLine="0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spacing w:after="0" w:line="240" w:lineRule="auto"/>
        <w:ind w:left="349" w:firstLine="0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spacing w:after="0" w:line="240" w:lineRule="auto"/>
        <w:ind w:left="349" w:firstLine="0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3143251</wp:posOffset>
                </wp:positionH>
                <wp:positionV relativeFrom="paragraph">
                  <wp:posOffset>4905376</wp:posOffset>
                </wp:positionV>
                <wp:extent cx="1009650" cy="304800"/>
                <wp:effectExtent b="0" l="0" r="0" t="0"/>
                <wp:wrapSquare wrapText="bothSides" distB="45720" distT="45720" distL="114300" distR="114300"/>
                <wp:docPr id="7" name=""/>
                <a:graphic>
                  <a:graphicData uri="http://schemas.microsoft.com/office/word/2010/wordprocessingShape">
                    <wps:wsp>
                      <wps:cNvSpPr/>
                      <wps:cNvPr id="8" name="Shape 8"/>
                      <wps:spPr>
                        <a:xfrm>
                          <a:off x="4850700" y="3637125"/>
                          <a:ext cx="990600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Barlow" w:cs="Barlow" w:eastAsia="Barlow" w:hAnsi="Barlow"/>
                                <w:b w:val="0"/>
                                <w:i w:val="1"/>
                                <w:smallCaps w:val="0"/>
                                <w:strike w:val="0"/>
                                <w:color w:val="ffffff"/>
                                <w:sz w:val="20"/>
                                <w:vertAlign w:val="baseline"/>
                              </w:rPr>
                              <w:t xml:space="preserve">Trg Republike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3143251</wp:posOffset>
                </wp:positionH>
                <wp:positionV relativeFrom="paragraph">
                  <wp:posOffset>4905376</wp:posOffset>
                </wp:positionV>
                <wp:extent cx="1009650" cy="304800"/>
                <wp:effectExtent b="0" l="0" r="0" t="0"/>
                <wp:wrapSquare wrapText="bothSides" distB="45720" distT="45720" distL="114300" distR="114300"/>
                <wp:docPr id="7" name="image16.png"/>
                <a:graphic>
                  <a:graphicData uri="http://schemas.openxmlformats.org/drawingml/2006/picture">
                    <pic:pic>
                      <pic:nvPicPr>
                        <pic:cNvPr id="0" name="image16.png"/>
                        <pic:cNvPicPr preferRelativeResize="0"/>
                      </pic:nvPicPr>
                      <pic:blipFill>
                        <a:blip r:embed="rId1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09650" cy="3048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1266826</wp:posOffset>
                </wp:positionH>
                <wp:positionV relativeFrom="paragraph">
                  <wp:posOffset>2171701</wp:posOffset>
                </wp:positionV>
                <wp:extent cx="1247775" cy="304800"/>
                <wp:effectExtent b="0" l="0" r="0" t="0"/>
                <wp:wrapSquare wrapText="bothSides" distB="45720" distT="45720" distL="114300" distR="114300"/>
                <wp:docPr id="4" name=""/>
                <a:graphic>
                  <a:graphicData uri="http://schemas.microsoft.com/office/word/2010/wordprocessingShape">
                    <wps:wsp>
                      <wps:cNvSpPr/>
                      <wps:cNvPr id="5" name="Shape 5"/>
                      <wps:spPr>
                        <a:xfrm>
                          <a:off x="4731638" y="3637125"/>
                          <a:ext cx="1228725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Barlow" w:cs="Barlow" w:eastAsia="Barlow" w:hAnsi="Barlow"/>
                                <w:b w:val="0"/>
                                <w:i w:val="1"/>
                                <w:smallCaps w:val="0"/>
                                <w:strike w:val="0"/>
                                <w:color w:val="ffffff"/>
                                <w:sz w:val="20"/>
                                <w:vertAlign w:val="baseline"/>
                              </w:rPr>
                              <w:t xml:space="preserve">Most Milenijum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1266826</wp:posOffset>
                </wp:positionH>
                <wp:positionV relativeFrom="paragraph">
                  <wp:posOffset>2171701</wp:posOffset>
                </wp:positionV>
                <wp:extent cx="1247775" cy="304800"/>
                <wp:effectExtent b="0" l="0" r="0" t="0"/>
                <wp:wrapSquare wrapText="bothSides" distB="45720" distT="45720" distL="114300" distR="114300"/>
                <wp:docPr id="4" name="image13.png"/>
                <a:graphic>
                  <a:graphicData uri="http://schemas.openxmlformats.org/drawingml/2006/picture">
                    <pic:pic>
                      <pic:nvPicPr>
                        <pic:cNvPr id="0" name="image13.png"/>
                        <pic:cNvPicPr preferRelativeResize="0"/>
                      </pic:nvPicPr>
                      <pic:blipFill>
                        <a:blip r:embed="rId1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47775" cy="3048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3738563</wp:posOffset>
                </wp:positionH>
                <wp:positionV relativeFrom="paragraph">
                  <wp:posOffset>1307783</wp:posOffset>
                </wp:positionV>
                <wp:extent cx="1247775" cy="304800"/>
                <wp:effectExtent b="0" l="0" r="0" t="0"/>
                <wp:wrapSquare wrapText="bothSides" distB="45720" distT="45720" distL="114300" distR="114300"/>
                <wp:docPr id="3" name=""/>
                <a:graphic>
                  <a:graphicData uri="http://schemas.microsoft.com/office/word/2010/wordprocessingShape">
                    <wps:wsp>
                      <wps:cNvSpPr/>
                      <wps:cNvPr id="4" name="Shape 4"/>
                      <wps:spPr>
                        <a:xfrm>
                          <a:off x="4731638" y="3637125"/>
                          <a:ext cx="1228725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Barlow" w:cs="Barlow" w:eastAsia="Barlow" w:hAnsi="Barlow"/>
                                <w:b w:val="0"/>
                                <w:i w:val="1"/>
                                <w:smallCaps w:val="0"/>
                                <w:strike w:val="0"/>
                                <w:color w:val="ffffff"/>
                                <w:sz w:val="20"/>
                                <w:vertAlign w:val="baseline"/>
                              </w:rPr>
                              <w:t xml:space="preserve">Predmetna  lokacija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3738563</wp:posOffset>
                </wp:positionH>
                <wp:positionV relativeFrom="paragraph">
                  <wp:posOffset>1307783</wp:posOffset>
                </wp:positionV>
                <wp:extent cx="1247775" cy="304800"/>
                <wp:effectExtent b="0" l="0" r="0" t="0"/>
                <wp:wrapSquare wrapText="bothSides" distB="45720" distT="45720" distL="114300" distR="114300"/>
                <wp:docPr id="3" name="image12.png"/>
                <a:graphic>
                  <a:graphicData uri="http://schemas.openxmlformats.org/drawingml/2006/picture">
                    <pic:pic>
                      <pic:nvPicPr>
                        <pic:cNvPr id="0" name="image12.png"/>
                        <pic:cNvPicPr preferRelativeResize="0"/>
                      </pic:nvPicPr>
                      <pic:blipFill>
                        <a:blip r:embed="rId1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47775" cy="3048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89">
      <w:pPr>
        <w:spacing w:after="0" w:line="240" w:lineRule="auto"/>
        <w:ind w:left="349" w:firstLine="0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spacing w:after="0" w:line="240" w:lineRule="auto"/>
        <w:ind w:left="349" w:firstLine="0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  <w:drawing>
          <wp:anchor allowOverlap="1" behindDoc="0" distB="0" distT="0" distL="114300" distR="114300" hidden="0" layoutInCell="1" locked="0" relativeHeight="0" simplePos="0">
            <wp:simplePos x="0" y="0"/>
            <wp:positionH relativeFrom="margin">
              <wp:posOffset>161925</wp:posOffset>
            </wp:positionH>
            <wp:positionV relativeFrom="page">
              <wp:posOffset>914400</wp:posOffset>
            </wp:positionV>
            <wp:extent cx="8028940" cy="4962525"/>
            <wp:effectExtent b="0" l="0" r="0" t="0"/>
            <wp:wrapTopAndBottom distB="0" distT="0"/>
            <wp:docPr id="11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2"/>
                    <a:srcRect b="345" l="0" r="0" t="345"/>
                    <a:stretch>
                      <a:fillRect/>
                    </a:stretch>
                  </pic:blipFill>
                  <pic:spPr>
                    <a:xfrm>
                      <a:off x="0" y="0"/>
                      <a:ext cx="8028940" cy="49625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spacing w:after="0" w:line="240" w:lineRule="auto"/>
        <w:ind w:left="349" w:firstLine="0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spacing w:after="0" w:line="240" w:lineRule="auto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spacing w:after="0" w:line="240" w:lineRule="auto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spacing w:after="0" w:line="240" w:lineRule="auto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spacing w:after="0" w:line="240" w:lineRule="auto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spacing w:after="0" w:line="240" w:lineRule="auto"/>
        <w:rPr>
          <w:rFonts w:ascii="Barlow" w:cs="Barlow" w:eastAsia="Barlow" w:hAnsi="Barlow"/>
          <w:i w:val="1"/>
          <w:iCs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spacing w:after="0" w:line="240" w:lineRule="auto"/>
        <w:ind w:left="349" w:firstLine="0"/>
        <w:jc w:val="right"/>
        <w:rPr>
          <w:rFonts w:ascii="Barlow" w:cs="Barlow" w:eastAsia="Barlow" w:hAnsi="Barlow"/>
          <w:i w:val="1"/>
          <w:iCs w:val="1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993141</wp:posOffset>
                </wp:positionH>
                <wp:positionV relativeFrom="paragraph">
                  <wp:posOffset>2038350</wp:posOffset>
                </wp:positionV>
                <wp:extent cx="1238250" cy="304800"/>
                <wp:effectExtent b="0" l="0" r="0" t="0"/>
                <wp:wrapSquare wrapText="bothSides" distB="45720" distT="45720" distL="114300" distR="114300"/>
                <wp:docPr id="6" name=""/>
                <a:graphic>
                  <a:graphicData uri="http://schemas.microsoft.com/office/word/2010/wordprocessingShape">
                    <wps:wsp>
                      <wps:cNvSpPr/>
                      <wps:cNvPr id="7" name="Shape 7"/>
                      <wps:spPr>
                        <a:xfrm>
                          <a:off x="4736400" y="3637125"/>
                          <a:ext cx="1219200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Barlow" w:cs="Barlow" w:eastAsia="Barlow" w:hAnsi="Barlow"/>
                                <w:b w:val="0"/>
                                <w:i w:val="1"/>
                                <w:smallCaps w:val="0"/>
                                <w:strike w:val="0"/>
                                <w:color w:val="ffffff"/>
                                <w:sz w:val="20"/>
                                <w:vertAlign w:val="baseline"/>
                              </w:rPr>
                              <w:t xml:space="preserve">Crkva Svetog Đorđa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993141</wp:posOffset>
                </wp:positionH>
                <wp:positionV relativeFrom="paragraph">
                  <wp:posOffset>2038350</wp:posOffset>
                </wp:positionV>
                <wp:extent cx="1238250" cy="304800"/>
                <wp:effectExtent b="0" l="0" r="0" t="0"/>
                <wp:wrapSquare wrapText="bothSides" distB="45720" distT="45720" distL="114300" distR="114300"/>
                <wp:docPr id="6" name="image15.png"/>
                <a:graphic>
                  <a:graphicData uri="http://schemas.openxmlformats.org/drawingml/2006/picture">
                    <pic:pic>
                      <pic:nvPicPr>
                        <pic:cNvPr id="0" name="image15.png"/>
                        <pic:cNvPicPr preferRelativeResize="0"/>
                      </pic:nvPicPr>
                      <pic:blipFill>
                        <a:blip r:embed="rId1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38250" cy="3048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92">
      <w:pPr>
        <w:spacing w:after="0" w:line="240" w:lineRule="auto"/>
        <w:ind w:left="349" w:firstLine="0"/>
        <w:jc w:val="right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Fonts w:ascii="Barlow" w:cs="Barlow" w:eastAsia="Barlow" w:hAnsi="Barlow"/>
          <w:i w:val="1"/>
          <w:iCs w:val="1"/>
          <w:sz w:val="20"/>
          <w:szCs w:val="20"/>
          <w:rtl w:val="0"/>
        </w:rPr>
        <w:t xml:space="preserve"> Slika 2. Položaj lokacije u odnosu na važne lokalitete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47627</wp:posOffset>
            </wp:positionH>
            <wp:positionV relativeFrom="paragraph">
              <wp:posOffset>19050</wp:posOffset>
            </wp:positionV>
            <wp:extent cx="8258175" cy="5486400"/>
            <wp:effectExtent b="0" l="0" r="0" t="0"/>
            <wp:wrapSquare wrapText="bothSides" distB="0" distT="0" distL="114300" distR="114300"/>
            <wp:docPr id="17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3"/>
                    <a:srcRect b="10494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58175" cy="5486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8">
      <w:pPr>
        <w:spacing w:after="0" w:line="240" w:lineRule="auto"/>
        <w:ind w:left="349" w:firstLine="0"/>
        <w:jc w:val="right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3305671</wp:posOffset>
                </wp:positionH>
                <wp:positionV relativeFrom="paragraph">
                  <wp:posOffset>1850640</wp:posOffset>
                </wp:positionV>
                <wp:extent cx="1426210" cy="304800"/>
                <wp:effectExtent b="0" l="0" r="0" t="0"/>
                <wp:wrapSquare wrapText="bothSides" distB="45720" distT="45720" distL="114300" distR="114300"/>
                <wp:docPr id="2" name=""/>
                <a:graphic>
                  <a:graphicData uri="http://schemas.microsoft.com/office/word/2010/wordprocessingShape">
                    <wps:wsp>
                      <wps:cNvSpPr/>
                      <wps:cNvPr id="3" name="Shape 3"/>
                      <wps:spPr>
                        <a:xfrm>
                          <a:off x="4642420" y="3637125"/>
                          <a:ext cx="1407160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Barlow" w:cs="Barlow" w:eastAsia="Barlow" w:hAnsi="Barlow"/>
                                <w:b w:val="1"/>
                                <w:i w:val="1"/>
                                <w:smallCaps w:val="0"/>
                                <w:strike w:val="0"/>
                                <w:color w:val="ffffff"/>
                                <w:sz w:val="20"/>
                                <w:vertAlign w:val="baseline"/>
                              </w:rPr>
                              <w:t xml:space="preserve">Predmetna  lokacija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3305671</wp:posOffset>
                </wp:positionH>
                <wp:positionV relativeFrom="paragraph">
                  <wp:posOffset>1850640</wp:posOffset>
                </wp:positionV>
                <wp:extent cx="1426210" cy="304800"/>
                <wp:effectExtent b="0" l="0" r="0" t="0"/>
                <wp:wrapSquare wrapText="bothSides" distB="45720" distT="45720" distL="114300" distR="114300"/>
                <wp:docPr id="2" name="image11.png"/>
                <a:graphic>
                  <a:graphicData uri="http://schemas.openxmlformats.org/drawingml/2006/picture">
                    <pic:pic>
                      <pic:nvPicPr>
                        <pic:cNvPr id="0" name="image11.png"/>
                        <pic:cNvPicPr preferRelativeResize="0"/>
                      </pic:nvPicPr>
                      <pic:blipFill>
                        <a:blip r:embed="rId1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26210" cy="3048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99">
      <w:pPr>
        <w:spacing w:line="240" w:lineRule="auto"/>
        <w:jc w:val="right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Fonts w:ascii="Barlow" w:cs="Barlow" w:eastAsia="Barlow" w:hAnsi="Barlow"/>
          <w:i w:val="1"/>
          <w:iCs w:val="1"/>
          <w:sz w:val="20"/>
          <w:szCs w:val="20"/>
          <w:rtl w:val="0"/>
        </w:rPr>
        <w:t xml:space="preserve">Slika 3. Ortofoto prikaz lokacije (https://ortofoto2025.gov.me/AppEngine/?appId=3e7e0177-1c6d-4646-a1ed-dd09896012f7&amp;tenant=satelitskisnimci2025)</w:t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119794</wp:posOffset>
                </wp:positionH>
                <wp:positionV relativeFrom="paragraph">
                  <wp:posOffset>1418038</wp:posOffset>
                </wp:positionV>
                <wp:extent cx="438868" cy="438868"/>
                <wp:effectExtent b="0" l="0" r="0" t="0"/>
                <wp:wrapNone/>
                <wp:docPr id="5" name=""/>
                <a:graphic>
                  <a:graphicData uri="http://schemas.microsoft.com/office/word/2010/wordprocessingShape">
                    <wps:wsp>
                      <wps:cNvSpPr/>
                      <wps:cNvPr id="6" name="Shape 6"/>
                      <wps:spPr>
                        <a:xfrm>
                          <a:off x="5139266" y="3573266"/>
                          <a:ext cx="413468" cy="413468"/>
                        </a:xfrm>
                        <a:custGeom>
                          <a:rect b="b" l="l" r="r" t="t"/>
                          <a:pathLst>
                            <a:path extrusionOk="0" h="365760" w="397565">
                              <a:moveTo>
                                <a:pt x="47708" y="365760"/>
                              </a:moveTo>
                              <a:lnTo>
                                <a:pt x="0" y="47708"/>
                              </a:lnTo>
                              <a:lnTo>
                                <a:pt x="111318" y="23854"/>
                              </a:lnTo>
                              <a:lnTo>
                                <a:pt x="119270" y="0"/>
                              </a:lnTo>
                              <a:lnTo>
                                <a:pt x="365760" y="103367"/>
                              </a:lnTo>
                              <a:lnTo>
                                <a:pt x="397565" y="230588"/>
                              </a:lnTo>
                              <a:lnTo>
                                <a:pt x="159026" y="310101"/>
                              </a:lnTo>
                              <a:lnTo>
                                <a:pt x="47708" y="3657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>
                            <a:alpha val="40000"/>
                          </a:srgbClr>
                        </a:solidFill>
                        <a:ln cap="flat" cmpd="sng" w="12700">
                          <a:solidFill>
                            <a:srgbClr val="B17733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119794</wp:posOffset>
                </wp:positionH>
                <wp:positionV relativeFrom="paragraph">
                  <wp:posOffset>1418038</wp:posOffset>
                </wp:positionV>
                <wp:extent cx="438868" cy="438868"/>
                <wp:effectExtent b="0" l="0" r="0" t="0"/>
                <wp:wrapNone/>
                <wp:docPr id="5" name="image14.png"/>
                <a:graphic>
                  <a:graphicData uri="http://schemas.openxmlformats.org/drawingml/2006/picture">
                    <pic:pic>
                      <pic:nvPicPr>
                        <pic:cNvPr id="0" name="image14.png"/>
                        <pic:cNvPicPr preferRelativeResize="0"/>
                      </pic:nvPicPr>
                      <pic:blipFill>
                        <a:blip r:embed="rId1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8868" cy="438868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9A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Fonts w:ascii="Barlow" w:cs="Barlow" w:eastAsia="Barlow" w:hAnsi="Barlow"/>
          <w:color w:val="ff0000"/>
        </w:rPr>
        <w:drawing>
          <wp:anchor allowOverlap="1" behindDoc="0" distB="0" distT="0" distL="114300" distR="114300" hidden="0" layoutInCell="1" locked="0" relativeHeight="0" simplePos="0">
            <wp:simplePos x="0" y="0"/>
            <wp:positionH relativeFrom="margin">
              <wp:posOffset>1304290</wp:posOffset>
            </wp:positionH>
            <wp:positionV relativeFrom="margin">
              <wp:posOffset>-961387</wp:posOffset>
            </wp:positionV>
            <wp:extent cx="5481320" cy="7396480"/>
            <wp:effectExtent b="0" l="0" r="0" t="0"/>
            <wp:wrapSquare wrapText="bothSides" distB="0" distT="0" distL="114300" distR="114300"/>
            <wp:docPr id="10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14"/>
                    <a:srcRect b="1672" l="0" r="1631" t="46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481320" cy="73964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spacing w:after="0" w:line="240" w:lineRule="auto"/>
        <w:ind w:left="349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spacing w:line="240" w:lineRule="auto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spacing w:line="240" w:lineRule="auto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Fonts w:ascii="Barlow" w:cs="Barlow" w:eastAsia="Barlow" w:hAnsi="Barlow"/>
          <w:i w:val="1"/>
          <w:iCs w:val="1"/>
          <w:color w:val="ff0000"/>
          <w:sz w:val="20"/>
          <w:szCs w:val="20"/>
          <w:rtl w:val="0"/>
        </w:rPr>
        <w:t xml:space="preserve">                                         </w:t>
      </w:r>
    </w:p>
    <w:p w:rsidR="00000000" w:rsidDel="00000000" w:rsidP="00000000" w:rsidRDefault="00000000" w:rsidRPr="00000000" w14:paraId="000000BF">
      <w:pPr>
        <w:spacing w:line="240" w:lineRule="auto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spacing w:line="240" w:lineRule="auto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spacing w:line="240" w:lineRule="auto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spacing w:line="240" w:lineRule="auto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spacing w:line="240" w:lineRule="auto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spacing w:line="240" w:lineRule="auto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spacing w:line="240" w:lineRule="auto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spacing w:line="240" w:lineRule="auto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spacing w:line="240" w:lineRule="auto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spacing w:line="240" w:lineRule="auto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spacing w:line="240" w:lineRule="auto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spacing w:line="240" w:lineRule="auto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spacing w:line="240" w:lineRule="auto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spacing w:line="240" w:lineRule="auto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spacing w:line="240" w:lineRule="auto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spacing w:line="240" w:lineRule="auto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spacing w:line="240" w:lineRule="auto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spacing w:line="240" w:lineRule="auto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spacing w:line="240" w:lineRule="auto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spacing w:line="240" w:lineRule="auto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spacing w:line="240" w:lineRule="auto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spacing w:line="240" w:lineRule="auto"/>
        <w:jc w:val="right"/>
        <w:rPr>
          <w:rFonts w:ascii="Barlow" w:cs="Barlow" w:eastAsia="Barlow" w:hAnsi="Barlow"/>
          <w:i w:val="1"/>
          <w:iCs w:val="1"/>
          <w:sz w:val="20"/>
          <w:szCs w:val="20"/>
        </w:rPr>
      </w:pPr>
      <w:r w:rsidDel="00000000" w:rsidR="00000000" w:rsidRPr="00000000">
        <w:rPr>
          <w:rFonts w:ascii="Barlow" w:cs="Barlow" w:eastAsia="Barlow" w:hAnsi="Barlow"/>
          <w:i w:val="1"/>
          <w:iCs w:val="1"/>
          <w:sz w:val="20"/>
          <w:szCs w:val="20"/>
          <w:rtl w:val="0"/>
        </w:rPr>
        <w:t xml:space="preserve">Slika 4. Geodetska podloga</w:t>
      </w:r>
    </w:p>
    <w:p w:rsidR="00000000" w:rsidDel="00000000" w:rsidP="00000000" w:rsidRDefault="00000000" w:rsidRPr="00000000" w14:paraId="000000D5">
      <w:pPr>
        <w:spacing w:line="240" w:lineRule="auto"/>
        <w:rPr>
          <w:rFonts w:ascii="Barlow" w:cs="Barlow" w:eastAsia="Barlow" w:hAnsi="Barlow"/>
          <w:i w:val="1"/>
          <w:iCs w:val="1"/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numPr>
          <w:ilvl w:val="0"/>
          <w:numId w:val="10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4e74a2" w:val="clear"/>
        <w:spacing w:line="240" w:lineRule="auto"/>
        <w:ind w:left="720" w:hanging="360"/>
        <w:jc w:val="both"/>
        <w:rPr>
          <w:rFonts w:ascii="Barlow" w:cs="Barlow" w:eastAsia="Barlow" w:hAnsi="Barlow"/>
          <w:b w:val="1"/>
          <w:bCs w:val="1"/>
          <w:color w:val="ffffff"/>
          <w:sz w:val="32"/>
          <w:szCs w:val="32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color w:val="ffffff"/>
          <w:sz w:val="32"/>
          <w:szCs w:val="32"/>
          <w:rtl w:val="0"/>
        </w:rPr>
        <w:t xml:space="preserve">USLOVI ZA PROJEKTOVANJE</w:t>
      </w:r>
    </w:p>
    <w:p w:rsidR="00000000" w:rsidDel="00000000" w:rsidP="00000000" w:rsidRDefault="00000000" w:rsidRPr="00000000" w14:paraId="000000D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276" w:firstLine="0"/>
        <w:jc w:val="both"/>
        <w:rPr>
          <w:rFonts w:ascii="Barlow" w:cs="Barlow" w:eastAsia="Barlow" w:hAnsi="Barlow"/>
          <w:b w:val="1"/>
          <w:bCs w:val="1"/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numPr>
          <w:ilvl w:val="1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276" w:hanging="567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sz w:val="28"/>
          <w:szCs w:val="28"/>
          <w:rtl w:val="0"/>
        </w:rPr>
        <w:t xml:space="preserve">Urbanistički parametri</w:t>
      </w:r>
    </w:p>
    <w:p w:rsidR="00000000" w:rsidDel="00000000" w:rsidP="00000000" w:rsidRDefault="00000000" w:rsidRPr="00000000" w14:paraId="000000D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152" w:firstLine="0"/>
        <w:jc w:val="both"/>
        <w:rPr>
          <w:rFonts w:ascii="Barlow" w:cs="Barlow" w:eastAsia="Barlow" w:hAnsi="Barlow"/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360" w:hanging="36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Planom je predviđeno uklanjanje postojeće istočne tribine, izgradnja objekta istočne tribine Gradskog stadiona sa javnom garažom kao i ulaznih partija uz nadopunu prostora dodatnim sadržajem centralnih djelatnosti kao sportsko poslovnog kompleksa prostora kako bi, pored osnovnog sportskog karaktera, upotpunio gradsku ponudu sa kulturnim - administrativnim, poslovnim i rekreativnim funkcijama, neophodnim za održavanje sportskih događaja evropskog i svetskog ranga.</w:t>
      </w:r>
    </w:p>
    <w:p w:rsidR="00000000" w:rsidDel="00000000" w:rsidP="00000000" w:rsidRDefault="00000000" w:rsidRPr="00000000" w14:paraId="000000D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360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u w:val="single"/>
          <w:rtl w:val="0"/>
        </w:rPr>
        <w:t xml:space="preserve">Za ovu urbanističku parcelu planom je predviđena razrada konkursnim rješenjem, s obzirom da se radi o kompleksnom objektu koji treba da zadovolji UEFA i FIFA standarde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360" w:hanging="36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Građevinska linija dogradnje prema saobraćajnicama, definisana je u grafičkom prilogu ''Parcelacija i regulacija''</w:t>
      </w:r>
    </w:p>
    <w:p w:rsidR="00000000" w:rsidDel="00000000" w:rsidP="00000000" w:rsidRDefault="00000000" w:rsidRPr="00000000" w14:paraId="000000DD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360" w:hanging="36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Površina lokacije stadiona iznosi cca 31.889,00 m</w:t>
      </w:r>
      <w:r w:rsidDel="00000000" w:rsidR="00000000" w:rsidRPr="00000000">
        <w:rPr>
          <w:rFonts w:ascii="Barlow" w:cs="Barlow" w:eastAsia="Barlow" w:hAnsi="Barlow"/>
          <w:vertAlign w:val="superscript"/>
          <w:rtl w:val="0"/>
        </w:rPr>
        <w:t xml:space="preserve">2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360" w:hanging="36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Površina predmetnog postojećeg objekta u osnovi je 528 m</w:t>
      </w:r>
      <w:r w:rsidDel="00000000" w:rsidR="00000000" w:rsidRPr="00000000">
        <w:rPr>
          <w:rFonts w:ascii="Barlow" w:cs="Barlow" w:eastAsia="Barlow" w:hAnsi="Barlow"/>
          <w:vertAlign w:val="superscript"/>
          <w:rtl w:val="0"/>
        </w:rPr>
        <w:t xml:space="preserve">2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numPr>
          <w:ilvl w:val="0"/>
          <w:numId w:val="1"/>
        </w:numPr>
        <w:spacing w:after="0" w:line="240" w:lineRule="auto"/>
        <w:ind w:left="360" w:hanging="36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Planirane potrebe se mogu zadovoljiti parkiranjem - garažiranjem ispod tribina gradskog stadiona sa istočne strane, gdje je predviđena višeetažna podzemna garaža. Podzemna garaža bi opsluživala ugostiteljsko - komercijalne sadržaje koji se nalaze ispod tribina, sportske manifestacije, a najvećim dijelom sadržaje u samom centru grada koji se nalaze u neposrednoj blizini.</w:t>
      </w:r>
    </w:p>
    <w:p w:rsidR="00000000" w:rsidDel="00000000" w:rsidP="00000000" w:rsidRDefault="00000000" w:rsidRPr="00000000" w14:paraId="000000E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  <w:b w:val="1"/>
          <w:bCs w:val="1"/>
          <w:color w:val="ff0000"/>
        </w:rPr>
      </w:pPr>
      <w:bookmarkStart w:colFirst="0" w:colLast="0" w:name="_heading=h.xxl48sx3y3la" w:id="5"/>
      <w:bookmarkEnd w:id="5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  <w:b w:val="1"/>
          <w:bCs w:val="1"/>
          <w:color w:val="ff0000"/>
        </w:rPr>
      </w:pPr>
      <w:bookmarkStart w:colFirst="0" w:colLast="0" w:name="_heading=h.kcycs6ki21if" w:id="6"/>
      <w:bookmarkEnd w:id="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  <w:b w:val="1"/>
          <w:bCs w:val="1"/>
          <w:color w:val="ff0000"/>
        </w:rPr>
      </w:pPr>
      <w:bookmarkStart w:colFirst="0" w:colLast="0" w:name="_heading=h.fzrycxy20tuq" w:id="7"/>
      <w:bookmarkEnd w:id="7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  <w:b w:val="1"/>
          <w:bCs w:val="1"/>
          <w:color w:val="ff0000"/>
        </w:rPr>
      </w:pPr>
      <w:bookmarkStart w:colFirst="0" w:colLast="0" w:name="_heading=h.ctfgvlg938l" w:id="8"/>
      <w:bookmarkEnd w:id="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  <w:b w:val="1"/>
          <w:bCs w:val="1"/>
          <w:color w:val="ff0000"/>
        </w:rPr>
      </w:pPr>
      <w:bookmarkStart w:colFirst="0" w:colLast="0" w:name="_heading=h.tnm05rd7gu8z" w:id="9"/>
      <w:bookmarkEnd w:id="9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  <w:b w:val="1"/>
          <w:bCs w:val="1"/>
          <w:color w:val="ff0000"/>
        </w:rPr>
      </w:pPr>
      <w:bookmarkStart w:colFirst="0" w:colLast="0" w:name="_heading=h.iuaeh483fbnk" w:id="10"/>
      <w:bookmarkEnd w:id="1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  <w:b w:val="1"/>
          <w:bCs w:val="1"/>
          <w:color w:val="ff0000"/>
        </w:rPr>
      </w:pPr>
      <w:bookmarkStart w:colFirst="0" w:colLast="0" w:name="_heading=h.1au1vm56f9gp" w:id="11"/>
      <w:bookmarkEnd w:id="1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numPr>
          <w:ilvl w:val="1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152" w:hanging="432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sz w:val="28"/>
          <w:szCs w:val="28"/>
          <w:rtl w:val="0"/>
        </w:rPr>
        <w:t xml:space="preserve">Opšte napomene</w:t>
      </w:r>
    </w:p>
    <w:p w:rsidR="00000000" w:rsidDel="00000000" w:rsidP="00000000" w:rsidRDefault="00000000" w:rsidRPr="00000000" w14:paraId="000000E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152" w:firstLine="0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Prostor obuhvaćen konkursnim zadatkom predstavlja skup sadržaja koji su u potpunosti podređeni potrebama poslovanja i funkcionisanja Advokatske Komore Crne Gore, i kao takvi predstavljaju integralnu cjelinu koja funkcioniše zasebno od postojećih sadržaja u ostatku objekta (postojeće etaže nisu predmet razrade) i neposrednom okruženju. Vizuelni identitet objekta u odnosu na neposredno okruženje definisati projektovanjem fasade cjelokupnog objekta. </w:t>
      </w:r>
    </w:p>
    <w:p w:rsidR="00000000" w:rsidDel="00000000" w:rsidP="00000000" w:rsidRDefault="00000000" w:rsidRPr="00000000" w14:paraId="000000E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Bruto površina objekta nije zadata urbanističko-tehničkim uslovima, međutim, neophodno je projektovanju pristupiti racionalno u pogledu investicije i potrebnih kapaciteta. </w:t>
      </w:r>
    </w:p>
    <w:p w:rsidR="00000000" w:rsidDel="00000000" w:rsidP="00000000" w:rsidRDefault="00000000" w:rsidRPr="00000000" w14:paraId="000000E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Pri definisanju ukupne površine objekta, potrebno je uzeti u obzir postojeće stanje i unaprijediti funkcionalnost, efikasnost korišćenja prostora, kao i usklađenost sa važećim propisima i standardima, u postojećim horizontalnim gabaritima. </w:t>
      </w:r>
    </w:p>
    <w:p w:rsidR="00000000" w:rsidDel="00000000" w:rsidP="00000000" w:rsidRDefault="00000000" w:rsidRPr="00000000" w14:paraId="000000E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Sastavni dio konkursne dokumentacije je geodetska podloga lokacije (slika 4.), kojom je definisan zahvat i obilježena spoljna kontura objekta koji je predmet konkursne razrade. </w:t>
      </w:r>
    </w:p>
    <w:p w:rsidR="00000000" w:rsidDel="00000000" w:rsidP="00000000" w:rsidRDefault="00000000" w:rsidRPr="00000000" w14:paraId="000000F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Prilikom definisanja gabarita, spratnosti i pozicioniranja objekta, potrebno je uzeti u obzir postojeće okruženje, prostorne odnose kako bi se očuvao vizuelni identitet.</w:t>
      </w:r>
    </w:p>
    <w:p w:rsidR="00000000" w:rsidDel="00000000" w:rsidP="00000000" w:rsidRDefault="00000000" w:rsidRPr="00000000" w14:paraId="000000F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Pored osnovnih zahtjeva vezanih za dimenzionisanje, posebnu pažnju treba posvetiti optimizaciji prostora kako bi se obezbijedila adekvatna organizacija sadržaja, fleksibilnost u korišćenju. Takođe, potrebno je voditi računa o energetskim aspektima i primjeni održivih rešenja koja mogu doprinijeti smanjenju operativnih troškova i poboljšanju energetske efikasnosti objekta. </w:t>
      </w:r>
    </w:p>
    <w:p w:rsidR="00000000" w:rsidDel="00000000" w:rsidP="00000000" w:rsidRDefault="00000000" w:rsidRPr="00000000" w14:paraId="000000F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Površinu prohodnog ravnog krova, kojem se pristupa sa drugog sprata, potrebno je adekvatno parterno urediti u cilju ostvarivanja dodatne zelene površine sa pratećim sadržajima i mobilijarom, u sklopu postojećeg gabarita objekta i na taj način bi se ostvarila veza sadržaja unutar objekta (kafeterija i ostali sadržaji) sa novoformiranim otvorenim prostorom (zelena prohodna terasa).</w:t>
      </w:r>
    </w:p>
    <w:p w:rsidR="00000000" w:rsidDel="00000000" w:rsidP="00000000" w:rsidRDefault="00000000" w:rsidRPr="00000000" w14:paraId="000000F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Postojeći objekat spratnosti Po+P+II potrebno je nadograditi do spratnosti Po+P+III, pri čemu nadogradnja podrazumijeva zadržavanje postojećeg vertikalnog gabarita koji služi kao osnova za nadogradnju.</w:t>
      </w:r>
      <w:r w:rsidDel="00000000" w:rsidR="00000000" w:rsidRPr="00000000">
        <w:rPr>
          <w:rFonts w:ascii="Barlow" w:cs="Barlow" w:eastAsia="Barlow" w:hAnsi="Barlow"/>
          <w:color w:val="ff0000"/>
          <w:rtl w:val="0"/>
        </w:rPr>
        <w:t xml:space="preserve"> </w:t>
      </w:r>
    </w:p>
    <w:p w:rsidR="00000000" w:rsidDel="00000000" w:rsidP="00000000" w:rsidRDefault="00000000" w:rsidRPr="00000000" w14:paraId="000000F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  <w:b w:val="1"/>
          <w:bCs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Ukupna visina objekta bi se trebala uskladiti sa visinskom kotom postojećih objekata - istočne i sjeverne tribine, pri čemu etaža koja se nadograđuje iznad prvog sprata može imati spratnu visinu od 3 metra dok etaža u okviru koje bi bila smještena sala za sastanke (prezentacije) može imati svijetlu visinu 6 metara u skladu sa tehničkim mogućnostima. Na ovaj način se projektantu daje mogućnost postizanja igre nivoa u okviru zadatog prostora.</w:t>
      </w:r>
    </w:p>
    <w:p w:rsidR="00000000" w:rsidDel="00000000" w:rsidP="00000000" w:rsidRDefault="00000000" w:rsidRPr="00000000" w14:paraId="000000F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Prilikom projektovanja odnosa visina voditi računa o uklopljenosti sa novoprojektovanom istočnom i postojećom sjevernom tribinom.</w:t>
      </w:r>
    </w:p>
    <w:p w:rsidR="00000000" w:rsidDel="00000000" w:rsidP="00000000" w:rsidRDefault="00000000" w:rsidRPr="00000000" w14:paraId="000000F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Napomena: Postojeće etaže objekta nisu predmet razrade konkursnog rješenja osim za potrebe pozicioniranje ulazne partije sa vertikalnim komunikacijama (stepenište i lift) koje je poželjno pozicionirati na sjeveroistočnoj strani objekta. </w:t>
      </w:r>
    </w:p>
    <w:p w:rsidR="00000000" w:rsidDel="00000000" w:rsidP="00000000" w:rsidRDefault="00000000" w:rsidRPr="00000000" w14:paraId="000000F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  <w:vertAlign w:val="superscript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Konkursnim rješenjem treba obuhvatiti cjelokupan objekat u okviru postojećeg gabarita, kroz jedinstveno i integralno oblikovanje fasade. Obavezujuće je projektovanje cjelokupnog volumena objekta nad kojim se vrši nadogradnja. Bruto površina projektovanog volumena nije ograničavajuća.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Radi sveobuhvatnog sagledavanja i unapređenja procesa izrade konkursnog rješenja satavni dio konkursne dokumentacije je i prvonagrađeno idejno arhitektonsko rješenje za istočnu tribinu Gradskog stadiona. </w:t>
      </w:r>
    </w:p>
    <w:p w:rsidR="00000000" w:rsidDel="00000000" w:rsidP="00000000" w:rsidRDefault="00000000" w:rsidRPr="00000000" w14:paraId="0000010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color w:val="ff0000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numPr>
          <w:ilvl w:val="1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152" w:hanging="432"/>
        <w:jc w:val="both"/>
        <w:rPr>
          <w:rFonts w:ascii="Barlow" w:cs="Barlow" w:eastAsia="Barlow" w:hAnsi="Barlow"/>
          <w:b w:val="1"/>
          <w:bCs w:val="1"/>
          <w:color w:val="000000"/>
          <w:sz w:val="28"/>
          <w:szCs w:val="28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color w:val="000000"/>
          <w:sz w:val="28"/>
          <w:szCs w:val="28"/>
          <w:rtl w:val="0"/>
        </w:rPr>
        <w:t xml:space="preserve">Pejzažno oblikovanje i parterno uređenje</w:t>
      </w:r>
    </w:p>
    <w:p w:rsidR="00000000" w:rsidDel="00000000" w:rsidP="00000000" w:rsidRDefault="00000000" w:rsidRPr="00000000" w14:paraId="0000010A">
      <w:pPr>
        <w:spacing w:after="0" w:line="240" w:lineRule="auto"/>
        <w:jc w:val="both"/>
        <w:rPr>
          <w:rFonts w:ascii="Barlow" w:cs="Barlow" w:eastAsia="Barlow" w:hAnsi="Barlow"/>
          <w:b w:val="1"/>
          <w:bCs w:val="1"/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bookmarkStart w:colFirst="0" w:colLast="0" w:name="_heading=h.6ruqmigl6ut8" w:id="12"/>
      <w:bookmarkEnd w:id="12"/>
      <w:r w:rsidDel="00000000" w:rsidR="00000000" w:rsidRPr="00000000">
        <w:rPr>
          <w:rFonts w:ascii="Barlow" w:cs="Barlow" w:eastAsia="Barlow" w:hAnsi="Barlow"/>
          <w:rtl w:val="0"/>
        </w:rPr>
        <w:t xml:space="preserve">S obzirom na zatečeno postojeće stanje prilikom razrade idejnog rješenja, u odnosu na dostupnu korisnu površinu višak prostora koji se ostvari nakon ispunjenja zahtjeva u odnosu na funkcionalne cjeline u objektu slobodne otvorene površine iskoristiti za formiranje ozelenjene terase u sklopu objekta.</w:t>
      </w:r>
    </w:p>
    <w:p w:rsidR="00000000" w:rsidDel="00000000" w:rsidP="00000000" w:rsidRDefault="00000000" w:rsidRPr="00000000" w14:paraId="0000010C">
      <w:pPr>
        <w:spacing w:after="0" w:line="240" w:lineRule="auto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numPr>
          <w:ilvl w:val="1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152" w:hanging="432"/>
        <w:jc w:val="both"/>
        <w:rPr>
          <w:rFonts w:ascii="Barlow" w:cs="Barlow" w:eastAsia="Barlow" w:hAnsi="Barlow"/>
          <w:b w:val="1"/>
          <w:bCs w:val="1"/>
          <w:color w:val="000000"/>
          <w:sz w:val="28"/>
          <w:szCs w:val="28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color w:val="000000"/>
          <w:sz w:val="28"/>
          <w:szCs w:val="28"/>
          <w:rtl w:val="0"/>
        </w:rPr>
        <w:t xml:space="preserve">Saobraćajno rješenje</w:t>
      </w:r>
    </w:p>
    <w:p w:rsidR="00000000" w:rsidDel="00000000" w:rsidP="00000000" w:rsidRDefault="00000000" w:rsidRPr="00000000" w14:paraId="0000010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bookmarkStart w:colFirst="0" w:colLast="0" w:name="_heading=h.3znysh7" w:id="13"/>
      <w:bookmarkEnd w:id="13"/>
      <w:r w:rsidDel="00000000" w:rsidR="00000000" w:rsidRPr="00000000">
        <w:rPr>
          <w:rFonts w:ascii="Barlow" w:cs="Barlow" w:eastAsia="Barlow" w:hAnsi="Barlow"/>
          <w:rtl w:val="0"/>
        </w:rPr>
        <w:t xml:space="preserve">Imajući u vidu  zatečeno stanje lokacije koja predstavlja  funkcionalnu cjelinu  Gradskog stadiona  pristup objektu je omogućen ustanovljenom mrežom  lokalnih saobraćajnica. </w:t>
      </w:r>
    </w:p>
    <w:p w:rsidR="00000000" w:rsidDel="00000000" w:rsidP="00000000" w:rsidRDefault="00000000" w:rsidRPr="00000000" w14:paraId="0000011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Predmetna lokacija odnosno obuhvat  sadržaja gradskog stadiona koji su predviđeni važećom planskom dokumentacijom predviđa i ispunjenje uslova u pogledu obezbjeđivanja dovoljnog broja parking mjesta, koja su u službi cjelokupnom Gradskom stadionu sa planom predviđenim dodatnim sadržajima. </w:t>
      </w:r>
    </w:p>
    <w:p w:rsidR="00000000" w:rsidDel="00000000" w:rsidP="00000000" w:rsidRDefault="00000000" w:rsidRPr="00000000" w14:paraId="0000011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firstLine="720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sz w:val="28"/>
          <w:szCs w:val="28"/>
          <w:rtl w:val="0"/>
        </w:rPr>
        <w:t xml:space="preserve">3.5 Konstruktivni sistem</w:t>
      </w:r>
    </w:p>
    <w:p w:rsidR="00000000" w:rsidDel="00000000" w:rsidP="00000000" w:rsidRDefault="00000000" w:rsidRPr="00000000" w14:paraId="00000118">
      <w:pPr>
        <w:spacing w:after="0" w:line="240" w:lineRule="auto"/>
        <w:jc w:val="both"/>
        <w:rPr>
          <w:rFonts w:ascii="Barlow" w:cs="Barlow" w:eastAsia="Barlow" w:hAnsi="Barlow"/>
          <w:b w:val="1"/>
          <w:bCs w:val="1"/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U okviru konkursnog rješenja dati koncept rješenja konstruktivnog sistema, u skladu sa nivoom detaljnosti idejnog rješenja. Izborom primarnog konstruktivnog sistema i tehnologije građenja treba na što ekonomičniji i tehnološki napredniji način odgovoriti potrebama realizacije ovog tipa objekta. </w:t>
      </w:r>
    </w:p>
    <w:p w:rsidR="00000000" w:rsidDel="00000000" w:rsidP="00000000" w:rsidRDefault="00000000" w:rsidRPr="00000000" w14:paraId="0000011A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Novoprojektovano konstruktivno rješenje objekta treba da obuhvata cjelokupan objekat - postojeće stanje sa nadogradnjom koja je predmet konkursa. </w:t>
      </w:r>
    </w:p>
    <w:p w:rsidR="00000000" w:rsidDel="00000000" w:rsidP="00000000" w:rsidRDefault="00000000" w:rsidRPr="00000000" w14:paraId="0000011B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Predvidjeti konstruktivni sistem koji će omogućiti fleksibilnu namjenu prostora i trajne materijale, koji odgovaraju standardima o fizičkoj zaštiti, higijenskim uslovima i racionalnom održavanju.</w:t>
      </w:r>
    </w:p>
    <w:p w:rsidR="00000000" w:rsidDel="00000000" w:rsidP="00000000" w:rsidRDefault="00000000" w:rsidRPr="00000000" w14:paraId="0000011C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Konstrukciju projektovati u skladu sa arhitektonskom organizacijom prostora i namjenom objekata. Konstruktivni sistem mora da bude siguran, stabilan, racionalan, funkcionalan, lak za održavanje, projektovan u skladu sa seizmičkim uticajima i skladu sa važećim tehničkim propisima i standardima. </w:t>
      </w:r>
    </w:p>
    <w:p w:rsidR="00000000" w:rsidDel="00000000" w:rsidP="00000000" w:rsidRDefault="00000000" w:rsidRPr="00000000" w14:paraId="0000011D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0" w:firstLine="0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sz w:val="28"/>
          <w:szCs w:val="28"/>
          <w:rtl w:val="0"/>
        </w:rPr>
        <w:t xml:space="preserve">   3.6. Arhitektonsko oblikovanje i materijalizacija</w:t>
      </w:r>
    </w:p>
    <w:p w:rsidR="00000000" w:rsidDel="00000000" w:rsidP="00000000" w:rsidRDefault="00000000" w:rsidRPr="00000000" w14:paraId="0000012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426" w:firstLine="0"/>
        <w:jc w:val="both"/>
        <w:rPr>
          <w:rFonts w:ascii="Barlow" w:cs="Barlow" w:eastAsia="Barlow" w:hAnsi="Barlow"/>
          <w:b w:val="1"/>
          <w:bCs w:val="1"/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spacing w:line="240" w:lineRule="auto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U oblikovnom smislu, objekat treba da posjeduje arhitektonski izraz adekvatan njegovoj funkciji, a čije se rješenje zasniva na prilagođavanju ambijentalnim vrijednostima lokacije. Objekat projektovati u skladu sa predviđenom namjenom, sa izborom kvalitetnih, trajnih i inovativnih materijala koji zadovoljavaju tražene norme za ovu vrstu objekata. Tema materijalizacije treba biti tretirana integralno sa temom oblikovanja projektovanih struktura. Posebnu pažnju treba posvetiti odabiru trajnih materijala u eksterijeru kako bi se smanjili troškovi održavanja i povećala energetska efikasnost objekta.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Konkursnim rješenjem potrebno je dati i predloge rješenja relevantnih pitanja materijalizacije objekta koji se, u prvom redu, odnose na završnu obradu fasadnih i krovnih površina cjelokupnog objekta. </w:t>
      </w:r>
    </w:p>
    <w:p w:rsidR="00000000" w:rsidDel="00000000" w:rsidP="00000000" w:rsidRDefault="00000000" w:rsidRPr="00000000" w14:paraId="00000129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Predlog materijalizacije uključuje tehnički opis sa relevantnim tehnološkim elementima. </w:t>
      </w:r>
    </w:p>
    <w:p w:rsidR="00000000" w:rsidDel="00000000" w:rsidP="00000000" w:rsidRDefault="00000000" w:rsidRPr="00000000" w14:paraId="0000012A">
      <w:pP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Kod primjene materijala u završnoj obradi fasada voditi računa o otpornosti na atmosferske uticaje.</w:t>
      </w:r>
    </w:p>
    <w:p w:rsidR="00000000" w:rsidDel="00000000" w:rsidP="00000000" w:rsidRDefault="00000000" w:rsidRPr="00000000" w14:paraId="0000012B">
      <w:pP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7">
      <w:pP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spacing w:after="0" w:line="240" w:lineRule="auto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sz w:val="28"/>
          <w:szCs w:val="28"/>
          <w:rtl w:val="0"/>
        </w:rPr>
        <w:t xml:space="preserve">3.7.Arhitektonski aspekti energetske efikasnosti</w:t>
      </w:r>
    </w:p>
    <w:p w:rsidR="00000000" w:rsidDel="00000000" w:rsidP="00000000" w:rsidRDefault="00000000" w:rsidRPr="00000000" w14:paraId="0000013A">
      <w:pPr>
        <w:spacing w:after="0" w:line="240" w:lineRule="auto"/>
        <w:ind w:left="426" w:firstLine="0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Projektovanje predmetnog objekta zahtijeva integraciju arhitektonskih rješenja koja unapređuju energetsku efikasnost objekta, pri čemu je ključno sagledati formu, geometrijske i strukturne karakteristike omotača zgrade, kao i funkcionalnu dispoziciju prostora u odnosu na orijentaciju. Preciznim dimenzionisanjem objekta treba omogućiti optimalno korišćenje prirodnih resursa – zimskom suncu omogućiti prodor u unutrašnjost, dok se fizičkom zaštitom objekta smanjuju gubici toplote uz istovremenu zaštitu od vremenskih nepogoda.</w:t>
      </w:r>
    </w:p>
    <w:p w:rsidR="00000000" w:rsidDel="00000000" w:rsidP="00000000" w:rsidRDefault="00000000" w:rsidRPr="00000000" w14:paraId="0000013C">
      <w:pPr>
        <w:spacing w:after="0" w:line="240" w:lineRule="auto"/>
        <w:ind w:left="426" w:firstLine="0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U cilju energetske održivosti, preporučuje se primjena obnovljivih izvora energije, uključujući solarne kolektore i toplotne pumpe za zagrijavanje podova i vode. Pored toga, neophodno je osigurati fleksibilnost sistema grijanja, hlađenja i ventilacije, omogućavajući nezavisnu kontrolu i regulaciju klimatizacije u svakoj funkcionalnoj cjelini objekta.</w:t>
      </w:r>
    </w:p>
    <w:p w:rsidR="00000000" w:rsidDel="00000000" w:rsidP="00000000" w:rsidRDefault="00000000" w:rsidRPr="00000000" w14:paraId="0000013E">
      <w:pPr>
        <w:spacing w:after="0" w:line="240" w:lineRule="auto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spacing w:after="0" w:line="240" w:lineRule="auto"/>
        <w:ind w:left="426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Osnovni principi oblikovanja predmetnog objekta obuhvataju:</w:t>
      </w:r>
    </w:p>
    <w:p w:rsidR="00000000" w:rsidDel="00000000" w:rsidP="00000000" w:rsidRDefault="00000000" w:rsidRPr="00000000" w14:paraId="00000140">
      <w:pP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numPr>
          <w:ilvl w:val="0"/>
          <w:numId w:val="6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720" w:hanging="36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Kompaktnu formu, koja doprinosi energetskoj efikasnosti i optimizaciji prostora,</w:t>
      </w:r>
    </w:p>
    <w:p w:rsidR="00000000" w:rsidDel="00000000" w:rsidP="00000000" w:rsidRDefault="00000000" w:rsidRPr="00000000" w14:paraId="00000142">
      <w:pPr>
        <w:numPr>
          <w:ilvl w:val="0"/>
          <w:numId w:val="6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720" w:hanging="36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Jednostavnu krovnu strukturu, sa zelenilom u prohodnom dijelu, prilagođenu klimatskim i funkcionalnim zahtjevima,</w:t>
      </w:r>
    </w:p>
    <w:p w:rsidR="00000000" w:rsidDel="00000000" w:rsidP="00000000" w:rsidRDefault="00000000" w:rsidRPr="00000000" w14:paraId="00000143">
      <w:pPr>
        <w:numPr>
          <w:ilvl w:val="0"/>
          <w:numId w:val="6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720" w:hanging="360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Selektivnu upotrebu materijala, uz primjenu visokokvalitetnih, trajnih i ekološki prihvatljivih rješenja.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A">
      <w:pPr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4e74a2" w:val="clear"/>
        <w:spacing w:after="0" w:line="240" w:lineRule="auto"/>
        <w:ind w:left="720" w:hanging="360"/>
        <w:jc w:val="both"/>
        <w:rPr>
          <w:rFonts w:ascii="Barlow" w:cs="Barlow" w:eastAsia="Barlow" w:hAnsi="Barlow"/>
          <w:b w:val="1"/>
          <w:bCs w:val="1"/>
          <w:color w:val="ffffff"/>
          <w:sz w:val="32"/>
          <w:szCs w:val="32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color w:val="ffffff"/>
          <w:sz w:val="32"/>
          <w:szCs w:val="32"/>
          <w:rtl w:val="0"/>
        </w:rPr>
        <w:t xml:space="preserve">FUNKCIONALNI ASPEKTI</w:t>
      </w:r>
    </w:p>
    <w:p w:rsidR="00000000" w:rsidDel="00000000" w:rsidP="00000000" w:rsidRDefault="00000000" w:rsidRPr="00000000" w14:paraId="0000014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Barlow" w:cs="Barlow" w:eastAsia="Barlow" w:hAnsi="Barlow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426" w:hanging="11.000000000000014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Predmetni objekat sastoji se od dvije povezane funkcionalne cjeline pri čemu svaka od njih uključuje prateće sadržaje neophodne za njihovo nesmetano funkcionisanje.</w:t>
      </w:r>
    </w:p>
    <w:p w:rsidR="00000000" w:rsidDel="00000000" w:rsidP="00000000" w:rsidRDefault="00000000" w:rsidRPr="00000000" w14:paraId="0000014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415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Nadogradnja postojećeg objekta treba da ima sljedeće sadržaje:</w:t>
      </w:r>
    </w:p>
    <w:p w:rsidR="00000000" w:rsidDel="00000000" w:rsidP="00000000" w:rsidRDefault="00000000" w:rsidRPr="00000000" w14:paraId="0000014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415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F">
      <w:pPr>
        <w:numPr>
          <w:ilvl w:val="0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720" w:hanging="36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Sala za sastanke (prezentacije) kapaciteta cca 300-400 mjesta, uz mogućnost formiranja galerijskog prostora; - preporuka spratne visine 6 m</w:t>
      </w:r>
    </w:p>
    <w:p w:rsidR="00000000" w:rsidDel="00000000" w:rsidP="00000000" w:rsidRDefault="00000000" w:rsidRPr="00000000" w14:paraId="00000150">
      <w:pPr>
        <w:numPr>
          <w:ilvl w:val="0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720" w:hanging="360"/>
        <w:jc w:val="both"/>
        <w:rPr>
          <w:rFonts w:ascii="Barlow" w:cs="Barlow" w:eastAsia="Barlow" w:hAnsi="Barlow"/>
          <w:color w:val="000000"/>
        </w:rPr>
      </w:pPr>
      <w:r w:rsidDel="00000000" w:rsidR="00000000" w:rsidRPr="00000000">
        <w:rPr>
          <w:rFonts w:ascii="Barlow" w:cs="Barlow" w:eastAsia="Barlow" w:hAnsi="Barlow"/>
          <w:color w:val="000000"/>
          <w:rtl w:val="0"/>
        </w:rPr>
        <w:t xml:space="preserve">Kancelarija predsjednika Advokatske komore Crne Gore;</w:t>
      </w:r>
    </w:p>
    <w:p w:rsidR="00000000" w:rsidDel="00000000" w:rsidP="00000000" w:rsidRDefault="00000000" w:rsidRPr="00000000" w14:paraId="00000151">
      <w:pPr>
        <w:numPr>
          <w:ilvl w:val="0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720" w:hanging="360"/>
        <w:jc w:val="both"/>
        <w:rPr>
          <w:rFonts w:ascii="Barlow" w:cs="Barlow" w:eastAsia="Barlow" w:hAnsi="Barlow"/>
          <w:color w:val="000000"/>
        </w:rPr>
      </w:pPr>
      <w:r w:rsidDel="00000000" w:rsidR="00000000" w:rsidRPr="00000000">
        <w:rPr>
          <w:rFonts w:ascii="Barlow" w:cs="Barlow" w:eastAsia="Barlow" w:hAnsi="Barlow"/>
          <w:color w:val="000000"/>
          <w:rtl w:val="0"/>
        </w:rPr>
        <w:t xml:space="preserve">Kancelarija Sekretara komore</w:t>
      </w:r>
    </w:p>
    <w:p w:rsidR="00000000" w:rsidDel="00000000" w:rsidP="00000000" w:rsidRDefault="00000000" w:rsidRPr="00000000" w14:paraId="00000152">
      <w:pPr>
        <w:numPr>
          <w:ilvl w:val="0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720" w:hanging="360"/>
        <w:jc w:val="both"/>
        <w:rPr>
          <w:rFonts w:ascii="Barlow" w:cs="Barlow" w:eastAsia="Barlow" w:hAnsi="Barlow"/>
          <w:color w:val="000000"/>
        </w:rPr>
      </w:pPr>
      <w:r w:rsidDel="00000000" w:rsidR="00000000" w:rsidRPr="00000000">
        <w:rPr>
          <w:rFonts w:ascii="Barlow" w:cs="Barlow" w:eastAsia="Barlow" w:hAnsi="Barlow"/>
          <w:color w:val="000000"/>
          <w:rtl w:val="0"/>
        </w:rPr>
        <w:t xml:space="preserve">Kancelarije za tehničko osoblje</w:t>
      </w:r>
    </w:p>
    <w:p w:rsidR="00000000" w:rsidDel="00000000" w:rsidP="00000000" w:rsidRDefault="00000000" w:rsidRPr="00000000" w14:paraId="00000153">
      <w:pPr>
        <w:numPr>
          <w:ilvl w:val="0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720" w:hanging="360"/>
        <w:jc w:val="both"/>
        <w:rPr>
          <w:rFonts w:ascii="Barlow" w:cs="Barlow" w:eastAsia="Barlow" w:hAnsi="Barlow"/>
          <w:color w:val="000000"/>
        </w:rPr>
      </w:pPr>
      <w:r w:rsidDel="00000000" w:rsidR="00000000" w:rsidRPr="00000000">
        <w:rPr>
          <w:rFonts w:ascii="Barlow" w:cs="Barlow" w:eastAsia="Barlow" w:hAnsi="Barlow"/>
          <w:color w:val="000000"/>
          <w:rtl w:val="0"/>
        </w:rPr>
        <w:t xml:space="preserve">Kanelarija disciplinskog tužioca</w:t>
      </w:r>
    </w:p>
    <w:p w:rsidR="00000000" w:rsidDel="00000000" w:rsidP="00000000" w:rsidRDefault="00000000" w:rsidRPr="00000000" w14:paraId="00000154">
      <w:pPr>
        <w:numPr>
          <w:ilvl w:val="0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720" w:hanging="360"/>
        <w:jc w:val="both"/>
        <w:rPr>
          <w:rFonts w:ascii="Barlow" w:cs="Barlow" w:eastAsia="Barlow" w:hAnsi="Barlow"/>
          <w:color w:val="000000"/>
        </w:rPr>
      </w:pPr>
      <w:r w:rsidDel="00000000" w:rsidR="00000000" w:rsidRPr="00000000">
        <w:rPr>
          <w:rFonts w:ascii="Barlow" w:cs="Barlow" w:eastAsia="Barlow" w:hAnsi="Barlow"/>
          <w:color w:val="000000"/>
          <w:rtl w:val="0"/>
        </w:rPr>
        <w:t xml:space="preserve">Kancelarija disciplinskog prvostepenog suda</w:t>
      </w:r>
    </w:p>
    <w:p w:rsidR="00000000" w:rsidDel="00000000" w:rsidP="00000000" w:rsidRDefault="00000000" w:rsidRPr="00000000" w14:paraId="00000155">
      <w:pPr>
        <w:numPr>
          <w:ilvl w:val="0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720" w:hanging="360"/>
        <w:jc w:val="both"/>
        <w:rPr>
          <w:rFonts w:ascii="Barlow" w:cs="Barlow" w:eastAsia="Barlow" w:hAnsi="Barlow"/>
          <w:color w:val="000000"/>
        </w:rPr>
      </w:pPr>
      <w:r w:rsidDel="00000000" w:rsidR="00000000" w:rsidRPr="00000000">
        <w:rPr>
          <w:rFonts w:ascii="Barlow" w:cs="Barlow" w:eastAsia="Barlow" w:hAnsi="Barlow"/>
          <w:color w:val="000000"/>
          <w:rtl w:val="0"/>
        </w:rPr>
        <w:t xml:space="preserve">Kancelarija disciplinskog drugostepenog suda</w:t>
      </w:r>
    </w:p>
    <w:p w:rsidR="00000000" w:rsidDel="00000000" w:rsidP="00000000" w:rsidRDefault="00000000" w:rsidRPr="00000000" w14:paraId="00000156">
      <w:pPr>
        <w:numPr>
          <w:ilvl w:val="0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720" w:hanging="360"/>
        <w:jc w:val="both"/>
        <w:rPr>
          <w:rFonts w:ascii="Barlow" w:cs="Barlow" w:eastAsia="Barlow" w:hAnsi="Barlow"/>
          <w:color w:val="000000"/>
        </w:rPr>
      </w:pPr>
      <w:r w:rsidDel="00000000" w:rsidR="00000000" w:rsidRPr="00000000">
        <w:rPr>
          <w:rFonts w:ascii="Barlow" w:cs="Barlow" w:eastAsia="Barlow" w:hAnsi="Barlow"/>
          <w:color w:val="000000"/>
          <w:rtl w:val="0"/>
        </w:rPr>
        <w:t xml:space="preserve">Sala za sastanke Upravnog odbora</w:t>
      </w:r>
    </w:p>
    <w:p w:rsidR="00000000" w:rsidDel="00000000" w:rsidP="00000000" w:rsidRDefault="00000000" w:rsidRPr="00000000" w14:paraId="00000157">
      <w:pPr>
        <w:numPr>
          <w:ilvl w:val="0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720" w:hanging="360"/>
        <w:jc w:val="both"/>
        <w:rPr>
          <w:rFonts w:ascii="Barlow" w:cs="Barlow" w:eastAsia="Barlow" w:hAnsi="Barlow"/>
          <w:color w:val="000000"/>
        </w:rPr>
      </w:pPr>
      <w:r w:rsidDel="00000000" w:rsidR="00000000" w:rsidRPr="00000000">
        <w:rPr>
          <w:rFonts w:ascii="Barlow" w:cs="Barlow" w:eastAsia="Barlow" w:hAnsi="Barlow"/>
          <w:color w:val="000000"/>
          <w:rtl w:val="0"/>
        </w:rPr>
        <w:t xml:space="preserve">Arhiva u sklopu kongresne dvorane</w:t>
      </w:r>
    </w:p>
    <w:p w:rsidR="00000000" w:rsidDel="00000000" w:rsidP="00000000" w:rsidRDefault="00000000" w:rsidRPr="00000000" w14:paraId="00000158">
      <w:pPr>
        <w:numPr>
          <w:ilvl w:val="0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720" w:hanging="360"/>
        <w:jc w:val="both"/>
        <w:rPr>
          <w:rFonts w:ascii="Barlow" w:cs="Barlow" w:eastAsia="Barlow" w:hAnsi="Barlow"/>
          <w:color w:val="000000"/>
        </w:rPr>
      </w:pPr>
      <w:r w:rsidDel="00000000" w:rsidR="00000000" w:rsidRPr="00000000">
        <w:rPr>
          <w:rFonts w:ascii="Barlow" w:cs="Barlow" w:eastAsia="Barlow" w:hAnsi="Barlow"/>
          <w:color w:val="000000"/>
          <w:rtl w:val="0"/>
        </w:rPr>
        <w:t xml:space="preserve">Kafeterija sa izlazom na prohodni dio krova</w:t>
      </w:r>
    </w:p>
    <w:p w:rsidR="00000000" w:rsidDel="00000000" w:rsidP="00000000" w:rsidRDefault="00000000" w:rsidRPr="00000000" w14:paraId="00000159">
      <w:pPr>
        <w:numPr>
          <w:ilvl w:val="0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720" w:hanging="360"/>
        <w:jc w:val="both"/>
        <w:rPr>
          <w:rFonts w:ascii="Barlow" w:cs="Barlow" w:eastAsia="Barlow" w:hAnsi="Barlow"/>
          <w:color w:val="000000"/>
        </w:rPr>
      </w:pPr>
      <w:r w:rsidDel="00000000" w:rsidR="00000000" w:rsidRPr="00000000">
        <w:rPr>
          <w:rFonts w:ascii="Barlow" w:cs="Barlow" w:eastAsia="Barlow" w:hAnsi="Barlow"/>
          <w:color w:val="000000"/>
          <w:rtl w:val="0"/>
        </w:rPr>
        <w:t xml:space="preserve">Dodatne kanc. ukoliko postoji mogućnost</w:t>
      </w:r>
    </w:p>
    <w:p w:rsidR="00000000" w:rsidDel="00000000" w:rsidP="00000000" w:rsidRDefault="00000000" w:rsidRPr="00000000" w14:paraId="0000015A">
      <w:pPr>
        <w:numPr>
          <w:ilvl w:val="0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720" w:hanging="360"/>
        <w:jc w:val="both"/>
        <w:rPr>
          <w:rFonts w:ascii="Barlow" w:cs="Barlow" w:eastAsia="Barlow" w:hAnsi="Barlow"/>
          <w:color w:val="000000"/>
        </w:rPr>
      </w:pPr>
      <w:r w:rsidDel="00000000" w:rsidR="00000000" w:rsidRPr="00000000">
        <w:rPr>
          <w:rFonts w:ascii="Barlow" w:cs="Barlow" w:eastAsia="Barlow" w:hAnsi="Barlow"/>
          <w:color w:val="000000"/>
          <w:rtl w:val="0"/>
        </w:rPr>
        <w:t xml:space="preserve">Sanitarni blok</w:t>
      </w:r>
    </w:p>
    <w:p w:rsidR="00000000" w:rsidDel="00000000" w:rsidP="00000000" w:rsidRDefault="00000000" w:rsidRPr="00000000" w14:paraId="0000015B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Holove, hodnike, vertikalne komunikacije, sanitarne blokove  uz obaveznu kabinu za lica sa smanjenom pokretljivošću i lica sa invaliditetom, je potrebno dimenzionisati prema važećim normativima za ovu vrstu objekata. </w:t>
      </w:r>
    </w:p>
    <w:p w:rsidR="00000000" w:rsidDel="00000000" w:rsidP="00000000" w:rsidRDefault="00000000" w:rsidRPr="00000000" w14:paraId="0000015C">
      <w:pPr>
        <w:spacing w:after="0"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Pored navedenih obaveznih prostorija, autorima se daje sloboda da, u skladu sa potrebama korisnika i raspoloživim prostorom, integriše dodatne sadržaje koji mogu poboljšati funkcionalnost. </w:t>
      </w:r>
    </w:p>
    <w:p w:rsidR="00000000" w:rsidDel="00000000" w:rsidP="00000000" w:rsidRDefault="00000000" w:rsidRPr="00000000" w14:paraId="0000015D">
      <w:pPr>
        <w:spacing w:line="240" w:lineRule="auto"/>
        <w:jc w:val="both"/>
        <w:rPr>
          <w:rFonts w:ascii="Barlow" w:cs="Barlow" w:eastAsia="Barlow" w:hAnsi="Barlow"/>
        </w:rPr>
      </w:pPr>
      <w:bookmarkStart w:colFirst="0" w:colLast="0" w:name="_heading=h.d39x1cbe1sry" w:id="14"/>
      <w:bookmarkEnd w:id="14"/>
      <w:r w:rsidDel="00000000" w:rsidR="00000000" w:rsidRPr="00000000">
        <w:rPr>
          <w:rFonts w:ascii="Barlow" w:cs="Barlow" w:eastAsia="Barlow" w:hAnsi="Barlow"/>
          <w:rtl w:val="0"/>
        </w:rPr>
        <w:t xml:space="preserve">Autori imaju slobodu da projektuju i dimenzionišu predviđene prostore u skladu sa potrebama, raspoloživih kapacitetima i konceptom rješenja. </w:t>
      </w:r>
    </w:p>
    <w:p w:rsidR="00000000" w:rsidDel="00000000" w:rsidP="00000000" w:rsidRDefault="00000000" w:rsidRPr="00000000" w14:paraId="0000015E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color w:val="ff0000"/>
        </w:rPr>
        <w:drawing>
          <wp:anchor allowOverlap="1" behindDoc="0" distB="0" distT="0" distL="114300" distR="114300" hidden="0" layoutInCell="1" locked="0" relativeHeight="0" simplePos="0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7422515" cy="5562600"/>
            <wp:effectExtent b="0" l="0" r="0" t="0"/>
            <wp:wrapSquare wrapText="bothSides" distB="0" distT="0" distL="114300" distR="114300"/>
            <wp:docPr id="12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422515" cy="55626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F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0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1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3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4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5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6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7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8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9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B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C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D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E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F">
      <w:pPr>
        <w:spacing w:line="240" w:lineRule="auto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0">
      <w:pPr>
        <w:spacing w:line="240" w:lineRule="auto"/>
        <w:jc w:val="both"/>
        <w:rPr>
          <w:rFonts w:ascii="Barlow" w:cs="Barlow" w:eastAsia="Barlow" w:hAnsi="Barlow"/>
        </w:rPr>
        <w:sectPr>
          <w:type w:val="continuous"/>
          <w:pgSz w:h="12240" w:w="15840" w:orient="landscape"/>
          <w:pgMar w:bottom="1440" w:top="990" w:left="1440" w:right="1538" w:header="720" w:footer="90"/>
          <w:cols w:equalWidth="0" w:num="2">
            <w:col w:space="720" w:w="6071"/>
            <w:col w:space="0" w:w="6071"/>
          </w:cols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1">
      <w:pPr>
        <w:spacing w:line="240" w:lineRule="auto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2">
      <w:pPr>
        <w:spacing w:line="240" w:lineRule="auto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3">
      <w:pPr>
        <w:spacing w:line="240" w:lineRule="auto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4">
      <w:pPr>
        <w:spacing w:line="240" w:lineRule="auto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5">
      <w:pPr>
        <w:spacing w:line="240" w:lineRule="auto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6">
      <w:pPr>
        <w:spacing w:line="240" w:lineRule="auto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7">
      <w:pPr>
        <w:spacing w:line="240" w:lineRule="auto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8">
      <w:pPr>
        <w:spacing w:line="240" w:lineRule="auto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9">
      <w:pPr>
        <w:spacing w:line="240" w:lineRule="auto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A">
      <w:pPr>
        <w:spacing w:after="0" w:line="240" w:lineRule="auto"/>
        <w:rPr>
          <w:rFonts w:ascii="Barlow" w:cs="Barlow" w:eastAsia="Barlow" w:hAnsi="Barlow"/>
          <w:i w:val="1"/>
          <w:iCs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spacing w:line="240" w:lineRule="auto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C">
      <w:pPr>
        <w:spacing w:line="240" w:lineRule="auto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D">
      <w:pPr>
        <w:spacing w:line="240" w:lineRule="auto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E">
      <w:pPr>
        <w:spacing w:line="240" w:lineRule="auto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F">
      <w:pPr>
        <w:spacing w:line="240" w:lineRule="auto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0">
      <w:pPr>
        <w:spacing w:line="240" w:lineRule="auto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1">
      <w:pPr>
        <w:spacing w:line="240" w:lineRule="auto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2">
      <w:pPr>
        <w:spacing w:line="240" w:lineRule="auto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3">
      <w:pPr>
        <w:spacing w:line="240" w:lineRule="auto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4">
      <w:pPr>
        <w:spacing w:line="240" w:lineRule="auto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5">
      <w:pPr>
        <w:spacing w:line="240" w:lineRule="auto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6">
      <w:pPr>
        <w:spacing w:line="240" w:lineRule="auto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7">
      <w:pPr>
        <w:spacing w:after="0" w:line="240" w:lineRule="auto"/>
        <w:jc w:val="right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i w:val="1"/>
          <w:iCs w:val="1"/>
          <w:sz w:val="20"/>
          <w:szCs w:val="20"/>
          <w:rtl w:val="0"/>
        </w:rPr>
        <w:t xml:space="preserve">Slika 5: Konkursna lokacija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8">
      <w:pPr>
        <w:numPr>
          <w:ilvl w:val="0"/>
          <w:numId w:val="4"/>
        </w:numPr>
        <w:shd w:fill="4e74a2" w:val="clear"/>
        <w:spacing w:after="0" w:line="240" w:lineRule="auto"/>
        <w:ind w:left="720" w:hanging="360"/>
        <w:jc w:val="both"/>
        <w:rPr>
          <w:rFonts w:ascii="Barlow" w:cs="Barlow" w:eastAsia="Barlow" w:hAnsi="Barlow"/>
          <w:b w:val="1"/>
          <w:bCs w:val="1"/>
          <w:color w:val="ffffff"/>
          <w:sz w:val="32"/>
          <w:szCs w:val="32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color w:val="ffffff"/>
          <w:sz w:val="32"/>
          <w:szCs w:val="32"/>
          <w:rtl w:val="0"/>
        </w:rPr>
        <w:t xml:space="preserve">INVESTICIJA</w:t>
      </w:r>
    </w:p>
    <w:p w:rsidR="00000000" w:rsidDel="00000000" w:rsidP="00000000" w:rsidRDefault="00000000" w:rsidRPr="00000000" w14:paraId="00000189">
      <w:pPr>
        <w:spacing w:line="240" w:lineRule="auto"/>
        <w:ind w:left="360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A">
      <w:pPr>
        <w:spacing w:line="240" w:lineRule="auto"/>
        <w:ind w:left="360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Prilikom projektovanja predmetnog objekta posebno je potrebno voditi računa o budžetu za izgradnju predmetnog objekta uključujući izgradnju objekta sa svom tehničkom opremom.</w:t>
      </w:r>
    </w:p>
    <w:p w:rsidR="00000000" w:rsidDel="00000000" w:rsidP="00000000" w:rsidRDefault="00000000" w:rsidRPr="00000000" w14:paraId="0000018B">
      <w:pPr>
        <w:numPr>
          <w:ilvl w:val="0"/>
          <w:numId w:val="4"/>
        </w:numPr>
        <w:shd w:fill="4e74a2" w:val="clear"/>
        <w:spacing w:after="0" w:line="240" w:lineRule="auto"/>
        <w:ind w:left="720" w:hanging="360"/>
        <w:jc w:val="both"/>
        <w:rPr>
          <w:rFonts w:ascii="Barlow" w:cs="Barlow" w:eastAsia="Barlow" w:hAnsi="Barlow"/>
          <w:b w:val="1"/>
          <w:bCs w:val="1"/>
          <w:color w:val="ffffff"/>
          <w:sz w:val="32"/>
          <w:szCs w:val="32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color w:val="ffffff"/>
          <w:sz w:val="32"/>
          <w:szCs w:val="32"/>
          <w:rtl w:val="0"/>
        </w:rPr>
        <w:t xml:space="preserve">KONKURSNI MATERIJAL</w:t>
      </w:r>
    </w:p>
    <w:p w:rsidR="00000000" w:rsidDel="00000000" w:rsidP="00000000" w:rsidRDefault="00000000" w:rsidRPr="00000000" w14:paraId="0000018C">
      <w:pPr>
        <w:spacing w:line="240" w:lineRule="auto"/>
        <w:ind w:left="360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D">
      <w:pPr>
        <w:spacing w:line="240" w:lineRule="auto"/>
        <w:ind w:left="360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Konkursna dokumentacija je skup dokumenata, podataka i uslova koji se dostavljaju učesnicima, kao osnov za izradu konkursnog rada. Konkursna dokumentacija se dijeli na tekstualni i grafički dio.</w:t>
      </w:r>
    </w:p>
    <w:p w:rsidR="00000000" w:rsidDel="00000000" w:rsidP="00000000" w:rsidRDefault="00000000" w:rsidRPr="00000000" w14:paraId="0000018E">
      <w:pPr>
        <w:numPr>
          <w:ilvl w:val="1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1152" w:hanging="432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sz w:val="28"/>
          <w:szCs w:val="28"/>
          <w:rtl w:val="0"/>
        </w:rPr>
        <w:t xml:space="preserve">Tekstualni dio</w:t>
      </w:r>
    </w:p>
    <w:p w:rsidR="00000000" w:rsidDel="00000000" w:rsidP="00000000" w:rsidRDefault="00000000" w:rsidRPr="00000000" w14:paraId="0000018F">
      <w:pPr>
        <w:spacing w:line="240" w:lineRule="auto"/>
        <w:ind w:left="360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Tekstualni dio konkursnog materijala obuhvata sledeće:</w:t>
      </w:r>
    </w:p>
    <w:p w:rsidR="00000000" w:rsidDel="00000000" w:rsidP="00000000" w:rsidRDefault="00000000" w:rsidRPr="00000000" w14:paraId="00000190">
      <w:pPr>
        <w:numPr>
          <w:ilvl w:val="0"/>
          <w:numId w:val="1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360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Raspis konkursa</w:t>
      </w:r>
    </w:p>
    <w:p w:rsidR="00000000" w:rsidDel="00000000" w:rsidP="00000000" w:rsidRDefault="00000000" w:rsidRPr="00000000" w14:paraId="00000191">
      <w:pPr>
        <w:numPr>
          <w:ilvl w:val="0"/>
          <w:numId w:val="1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360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Konkursni zadatak</w:t>
      </w:r>
    </w:p>
    <w:p w:rsidR="00000000" w:rsidDel="00000000" w:rsidP="00000000" w:rsidRDefault="00000000" w:rsidRPr="00000000" w14:paraId="0000019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720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3">
      <w:pPr>
        <w:numPr>
          <w:ilvl w:val="1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1152" w:hanging="432"/>
        <w:jc w:val="both"/>
        <w:rPr>
          <w:rFonts w:ascii="Barlow" w:cs="Barlow" w:eastAsia="Barlow" w:hAnsi="Barlow"/>
          <w:b w:val="1"/>
          <w:bCs w:val="1"/>
          <w:sz w:val="28"/>
          <w:szCs w:val="28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sz w:val="28"/>
          <w:szCs w:val="28"/>
          <w:rtl w:val="0"/>
        </w:rPr>
        <w:t xml:space="preserve">Grafički dio</w:t>
      </w:r>
    </w:p>
    <w:p w:rsidR="00000000" w:rsidDel="00000000" w:rsidP="00000000" w:rsidRDefault="00000000" w:rsidRPr="00000000" w14:paraId="00000194">
      <w:pPr>
        <w:spacing w:line="240" w:lineRule="auto"/>
        <w:ind w:left="426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Grafički dio konkursnog materijala obuhvata sledeće:</w:t>
      </w:r>
    </w:p>
    <w:p w:rsidR="00000000" w:rsidDel="00000000" w:rsidP="00000000" w:rsidRDefault="00000000" w:rsidRPr="00000000" w14:paraId="00000195">
      <w:pPr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146" w:hanging="36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Geodetsku podlogu predmetne lokacije sa granicom zahvata;</w:t>
      </w:r>
    </w:p>
    <w:p w:rsidR="00000000" w:rsidDel="00000000" w:rsidP="00000000" w:rsidRDefault="00000000" w:rsidRPr="00000000" w14:paraId="00000196">
      <w:pPr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146" w:hanging="36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Urbanističko-tehničke uslove za izradu tehničke dokumentacije, broj 06-333/25-11584/5 od 22.01.2026. godine;</w:t>
      </w:r>
    </w:p>
    <w:p w:rsidR="00000000" w:rsidDel="00000000" w:rsidP="00000000" w:rsidRDefault="00000000" w:rsidRPr="00000000" w14:paraId="00000197">
      <w:pPr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146" w:hanging="36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Aerofotogrametrijsko snimanje lokacije, ortofoto snimak;</w:t>
      </w:r>
    </w:p>
    <w:p w:rsidR="00000000" w:rsidDel="00000000" w:rsidP="00000000" w:rsidRDefault="00000000" w:rsidRPr="00000000" w14:paraId="00000198">
      <w:pPr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146" w:hanging="360"/>
        <w:jc w:val="both"/>
        <w:rPr>
          <w:rFonts w:ascii="Barlow" w:cs="Barlow" w:eastAsia="Barlow" w:hAnsi="Barlow"/>
        </w:rPr>
      </w:pPr>
      <w:bookmarkStart w:colFirst="0" w:colLast="0" w:name="_heading=h.xs8itpbxosl8" w:id="15"/>
      <w:bookmarkEnd w:id="15"/>
      <w:r w:rsidDel="00000000" w:rsidR="00000000" w:rsidRPr="00000000">
        <w:rPr>
          <w:rFonts w:ascii="Barlow" w:cs="Barlow" w:eastAsia="Barlow" w:hAnsi="Barlow"/>
          <w:rtl w:val="0"/>
        </w:rPr>
        <w:t xml:space="preserve">Prvonagrađeno idejno arhitektonsko rješenje za istočnu tribinu Gradskog stadiona  </w:t>
      </w:r>
    </w:p>
    <w:p w:rsidR="00000000" w:rsidDel="00000000" w:rsidP="00000000" w:rsidRDefault="00000000" w:rsidRPr="00000000" w14:paraId="0000019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146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A">
      <w:pPr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4e74a2" w:val="clear"/>
        <w:spacing w:line="240" w:lineRule="auto"/>
        <w:ind w:left="360" w:firstLine="0"/>
        <w:jc w:val="both"/>
        <w:rPr>
          <w:rFonts w:ascii="Barlow" w:cs="Barlow" w:eastAsia="Barlow" w:hAnsi="Barlow"/>
          <w:b w:val="1"/>
          <w:bCs w:val="1"/>
          <w:color w:val="ffffff"/>
          <w:sz w:val="32"/>
          <w:szCs w:val="32"/>
        </w:rPr>
      </w:pPr>
      <w:r w:rsidDel="00000000" w:rsidR="00000000" w:rsidRPr="00000000">
        <w:rPr>
          <w:rFonts w:ascii="Barlow" w:cs="Barlow" w:eastAsia="Barlow" w:hAnsi="Barlow"/>
          <w:b w:val="1"/>
          <w:bCs w:val="1"/>
          <w:color w:val="ffffff"/>
          <w:sz w:val="32"/>
          <w:szCs w:val="32"/>
          <w:rtl w:val="0"/>
        </w:rPr>
        <w:t xml:space="preserve">PREPORUKE I PROPISI </w:t>
      </w:r>
    </w:p>
    <w:p w:rsidR="00000000" w:rsidDel="00000000" w:rsidP="00000000" w:rsidRDefault="00000000" w:rsidRPr="00000000" w14:paraId="0000019B">
      <w:pPr>
        <w:spacing w:line="240" w:lineRule="auto"/>
        <w:ind w:left="426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Prilikom projektovanja neophodno je poštovati odredbe sljedećih propisa i preporuka za projektovanje:</w:t>
      </w:r>
    </w:p>
    <w:p w:rsidR="00000000" w:rsidDel="00000000" w:rsidP="00000000" w:rsidRDefault="00000000" w:rsidRPr="00000000" w14:paraId="0000019C">
      <w:pPr>
        <w:numPr>
          <w:ilvl w:val="0"/>
          <w:numId w:val="1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851" w:hanging="283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Zakon o izgradnji objekata („Službeni list Crne Gore“ broj 19/25);</w:t>
      </w:r>
    </w:p>
    <w:p w:rsidR="00000000" w:rsidDel="00000000" w:rsidP="00000000" w:rsidRDefault="00000000" w:rsidRPr="00000000" w14:paraId="0000019D">
      <w:pPr>
        <w:numPr>
          <w:ilvl w:val="0"/>
          <w:numId w:val="1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851" w:hanging="283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Pravilnik o bližem sadržaju i formi planskog dokumenta, kriterijumima namjene površina, elementima urbanističke regulacije i jedinstvenim grafičkim simbolima ("Službeni list Crne Gore", br. 24/10 i 33/14);</w:t>
      </w:r>
    </w:p>
    <w:p w:rsidR="00000000" w:rsidDel="00000000" w:rsidP="00000000" w:rsidRDefault="00000000" w:rsidRPr="00000000" w14:paraId="0000019E">
      <w:pPr>
        <w:numPr>
          <w:ilvl w:val="0"/>
          <w:numId w:val="1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851" w:hanging="283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Pravilnik o bližim uslovima i načinu prilagođavanja objekata za pristup i kretanje lica smanjenje pokretljivosti i lica sa invaliditetom ("Službeni list Crne Gore", br. 48/13 i 44/15);</w:t>
      </w:r>
    </w:p>
    <w:p w:rsidR="00000000" w:rsidDel="00000000" w:rsidP="00000000" w:rsidRDefault="00000000" w:rsidRPr="00000000" w14:paraId="0000019F">
      <w:pPr>
        <w:spacing w:line="240" w:lineRule="auto"/>
        <w:jc w:val="both"/>
        <w:rPr>
          <w:rFonts w:ascii="Barlow" w:cs="Barlow" w:eastAsia="Barlow" w:hAnsi="Barlow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0">
      <w:pPr>
        <w:spacing w:line="240" w:lineRule="auto"/>
        <w:ind w:left="426" w:firstLine="0"/>
        <w:jc w:val="both"/>
        <w:rPr>
          <w:rFonts w:ascii="Barlow" w:cs="Barlow" w:eastAsia="Barlow" w:hAnsi="Barlow"/>
        </w:rPr>
      </w:pPr>
      <w:r w:rsidDel="00000000" w:rsidR="00000000" w:rsidRPr="00000000">
        <w:rPr>
          <w:rFonts w:ascii="Barlow" w:cs="Barlow" w:eastAsia="Barlow" w:hAnsi="Barlow"/>
          <w:rtl w:val="0"/>
        </w:rPr>
        <w:t xml:space="preserve">Pri projektovanju koristiti važeće propise, pravilnike i standarde za ovu vrstu objekata. Za definisanje pojedinih elemenata projekta za koje nisu propisani tehnički normativi u našim tehničkim propisima i standardima, kao i uslovima datim u konkursnom zadatku, preporučuje se korišćenje tehničkih uslova i normativa datih iz inostranih propisa.  </w:t>
      </w:r>
    </w:p>
    <w:sectPr>
      <w:type w:val="continuous"/>
      <w:pgSz w:h="12240" w:w="15840" w:orient="landscape"/>
      <w:pgMar w:bottom="1440" w:top="1440" w:left="1440" w:right="1538" w:header="720" w:footer="720"/>
      <w:cols w:equalWidth="0" w:num="2">
        <w:col w:space="720" w:w="6071"/>
        <w:col w:space="0" w:w="6071"/>
      </w:cols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Georgia"/>
  <w:font w:name="Arial"/>
  <w:font w:name="Courier New"/>
  <w:font w:name="Noto Sans Symbols">
    <w:embedRegular w:fontKey="{00000000-0000-0000-0000-000000000000}" r:id="rId1" w:subsetted="0"/>
    <w:embedBold w:fontKey="{00000000-0000-0000-0000-000000000000}" r:id="rId2" w:subsetted="0"/>
  </w:font>
  <w:font w:name="Barlow">
    <w:embedRegular w:fontKey="{00000000-0000-0000-0000-000000000000}" r:id="rId3" w:subsetted="0"/>
    <w:embedBold w:fontKey="{00000000-0000-0000-0000-000000000000}" r:id="rId4" w:subsetted="0"/>
    <w:embedItalic w:fontKey="{00000000-0000-0000-0000-000000000000}" r:id="rId5" w:subsetted="0"/>
    <w:embedBoldItalic w:fontKey="{00000000-0000-0000-0000-000000000000}" r:id="rId6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A5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leader="none" w:pos="4680"/>
        <w:tab w:val="right" w:leader="none" w:pos="9360"/>
      </w:tabs>
      <w:spacing w:after="0" w:line="240" w:lineRule="auto"/>
      <w:rPr>
        <w:color w:val="000000"/>
      </w:rPr>
    </w:pP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A6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left" w:leader="none" w:pos="1800"/>
        <w:tab w:val="center" w:leader="none" w:pos="4680"/>
        <w:tab w:val="right" w:leader="none" w:pos="9360"/>
        <w:tab w:val="right" w:leader="none" w:pos="12862"/>
      </w:tabs>
      <w:spacing w:after="0" w:line="240" w:lineRule="auto"/>
      <w:rPr>
        <w:color w:val="000000"/>
      </w:rPr>
    </w:pPr>
    <w:r w:rsidDel="00000000" w:rsidR="00000000" w:rsidRPr="00000000">
      <w:rPr/>
      <w:drawing>
        <wp:inline distB="0" distT="0" distL="0" distR="0">
          <wp:extent cx="1066800" cy="922020"/>
          <wp:effectExtent b="0" l="0" r="0" t="0"/>
          <wp:docPr id="14" name="image2.jpg"/>
          <a:graphic>
            <a:graphicData uri="http://schemas.openxmlformats.org/drawingml/2006/picture">
              <pic:pic>
                <pic:nvPicPr>
                  <pic:cNvPr id="0" name="image2.jp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1066800" cy="922020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color w:val="000000"/>
        <w:rtl w:val="0"/>
      </w:rPr>
      <w:tab/>
      <w:tab/>
      <w:tab/>
      <w:tab/>
    </w:r>
    <w:r w:rsidDel="00000000" w:rsidR="00000000" w:rsidRPr="00000000">
      <w:rPr>
        <w:color w:val="000000"/>
      </w:rPr>
      <w:drawing>
        <wp:inline distB="0" distT="0" distL="0" distR="0">
          <wp:extent cx="485775" cy="293365"/>
          <wp:effectExtent b="0" l="0" r="0" t="0"/>
          <wp:docPr id="16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2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485775" cy="293365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A1">
    <w:pPr>
      <w:pStyle w:val="Title"/>
      <w:ind w:left="0" w:firstLine="0"/>
      <w:rPr>
        <w:rFonts w:ascii="Barlow" w:cs="Barlow" w:eastAsia="Barlow" w:hAnsi="Barlow"/>
      </w:rPr>
    </w:pPr>
    <w:r w:rsidDel="00000000" w:rsidR="00000000" w:rsidRPr="00000000">
      <w:rPr>
        <w:rFonts w:ascii="Barlow" w:cs="Barlow" w:eastAsia="Barlow" w:hAnsi="Barlow"/>
        <w:rtl w:val="0"/>
      </w:rPr>
      <w:t xml:space="preserve">                 Crna Gora</w:t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-24755</wp:posOffset>
          </wp:positionH>
          <wp:positionV relativeFrom="paragraph">
            <wp:posOffset>52705</wp:posOffset>
          </wp:positionV>
          <wp:extent cx="561975" cy="639445"/>
          <wp:effectExtent b="0" l="0" r="0" t="0"/>
          <wp:wrapNone/>
          <wp:docPr descr="grb" id="9" name="image5.jpg"/>
          <a:graphic>
            <a:graphicData uri="http://schemas.openxmlformats.org/drawingml/2006/picture">
              <pic:pic>
                <pic:nvPicPr>
                  <pic:cNvPr descr="grb" id="0" name="image5.jp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561975" cy="639445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w:drawing>
        <wp:anchor allowOverlap="1" behindDoc="1" distB="114300" distT="114300" distL="114300" distR="114300" hidden="0" layoutInCell="1" locked="0" relativeHeight="0" simplePos="0">
          <wp:simplePos x="0" y="0"/>
          <wp:positionH relativeFrom="column">
            <wp:posOffset>5524500</wp:posOffset>
          </wp:positionH>
          <wp:positionV relativeFrom="paragraph">
            <wp:posOffset>-231803</wp:posOffset>
          </wp:positionV>
          <wp:extent cx="2586038" cy="1145493"/>
          <wp:effectExtent b="0" l="0" r="0" t="0"/>
          <wp:wrapNone/>
          <wp:docPr id="15" name="image6.png"/>
          <a:graphic>
            <a:graphicData uri="http://schemas.openxmlformats.org/drawingml/2006/picture">
              <pic:pic>
                <pic:nvPicPr>
                  <pic:cNvPr id="0" name="image6.png"/>
                  <pic:cNvPicPr preferRelativeResize="0"/>
                </pic:nvPicPr>
                <pic:blipFill>
                  <a:blip r:embed="rId2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2586038" cy="1145493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mc:AlternateContent>
        <mc:Choice Requires="wpg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527050</wp:posOffset>
              </wp:positionH>
              <wp:positionV relativeFrom="paragraph">
                <wp:posOffset>41275</wp:posOffset>
              </wp:positionV>
              <wp:extent cx="38100" cy="654156"/>
              <wp:effectExtent b="0" l="0" r="0" t="0"/>
              <wp:wrapNone/>
              <wp:docPr id="1" name=""/>
              <a:graphic>
                <a:graphicData uri="http://schemas.microsoft.com/office/word/2010/wordprocessingShape">
                  <wps:wsp>
                    <wps:cNvCnPr/>
                    <wps:spPr>
                      <a:xfrm>
                        <a:off x="5346000" y="3462447"/>
                        <a:ext cx="0" cy="635106"/>
                      </a:xfrm>
                      <a:prstGeom prst="straightConnector1">
                        <a:avLst/>
                      </a:prstGeom>
                      <a:noFill/>
                      <a:ln cap="flat" cmpd="sng" w="19050">
                        <a:solidFill>
                          <a:srgbClr val="D5B03D"/>
                        </a:solidFill>
                        <a:prstDash val="solid"/>
                        <a:miter lim="800000"/>
                        <a:headEnd len="sm" w="sm" type="none"/>
                        <a:tailEnd len="sm" w="sm" type="none"/>
                      </a:ln>
                    </wps:spPr>
                    <wps:bodyPr anchorCtr="0" anchor="ctr" bIns="91425" lIns="91425" spcFirstLastPara="1" rIns="91425" wrap="square" tIns="91425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527050</wp:posOffset>
              </wp:positionH>
              <wp:positionV relativeFrom="paragraph">
                <wp:posOffset>41275</wp:posOffset>
              </wp:positionV>
              <wp:extent cx="38100" cy="654156"/>
              <wp:effectExtent b="0" l="0" r="0" t="0"/>
              <wp:wrapNone/>
              <wp:docPr id="1" name="image10.png"/>
              <a:graphic>
                <a:graphicData uri="http://schemas.openxmlformats.org/drawingml/2006/picture">
                  <pic:pic>
                    <pic:nvPicPr>
                      <pic:cNvPr id="0" name="image10.png"/>
                      <pic:cNvPicPr preferRelativeResize="0"/>
                    </pic:nvPicPr>
                    <pic:blipFill>
                      <a:blip r:embed="rId3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8100" cy="654156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  <w:p w:rsidR="00000000" w:rsidDel="00000000" w:rsidP="00000000" w:rsidRDefault="00000000" w:rsidRPr="00000000" w14:paraId="000001A2">
    <w:pPr>
      <w:pStyle w:val="Title"/>
      <w:spacing w:after="0" w:lineRule="auto"/>
      <w:ind w:left="720" w:firstLine="0"/>
      <w:rPr>
        <w:rFonts w:ascii="Barlow" w:cs="Barlow" w:eastAsia="Barlow" w:hAnsi="Barlow"/>
      </w:rPr>
    </w:pPr>
    <w:r w:rsidDel="00000000" w:rsidR="00000000" w:rsidRPr="00000000">
      <w:rPr>
        <w:rFonts w:ascii="Barlow" w:cs="Barlow" w:eastAsia="Barlow" w:hAnsi="Barlow"/>
        <w:rtl w:val="0"/>
      </w:rPr>
      <w:t xml:space="preserve">    Ministarstvo prostornog planiranja,              </w:t>
    </w:r>
  </w:p>
  <w:p w:rsidR="00000000" w:rsidDel="00000000" w:rsidP="00000000" w:rsidRDefault="00000000" w:rsidRPr="00000000" w14:paraId="000001A3">
    <w:pPr>
      <w:pStyle w:val="Title"/>
      <w:spacing w:after="0" w:lineRule="auto"/>
      <w:ind w:left="0" w:firstLine="0"/>
      <w:rPr>
        <w:rFonts w:ascii="Barlow" w:cs="Barlow" w:eastAsia="Barlow" w:hAnsi="Barlow"/>
      </w:rPr>
    </w:pPr>
    <w:r w:rsidDel="00000000" w:rsidR="00000000" w:rsidRPr="00000000">
      <w:rPr>
        <w:rFonts w:ascii="Barlow" w:cs="Barlow" w:eastAsia="Barlow" w:hAnsi="Barlow"/>
        <w:rtl w:val="0"/>
      </w:rPr>
      <w:t xml:space="preserve">                 urbanizma i državne imovine </w:t>
    </w:r>
  </w:p>
  <w:p w:rsidR="00000000" w:rsidDel="00000000" w:rsidP="00000000" w:rsidRDefault="00000000" w:rsidRPr="00000000" w14:paraId="000001A4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leader="none" w:pos="4680"/>
        <w:tab w:val="right" w:leader="none" w:pos="9360"/>
      </w:tabs>
      <w:spacing w:after="0" w:line="240" w:lineRule="auto"/>
      <w:rPr>
        <w:color w:val="000000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  <w:color w:val="000000"/>
        <w:u w:val="none"/>
      </w:rPr>
    </w:lvl>
    <w:lvl w:ilvl="1">
      <w:start w:val="1"/>
      <w:numFmt w:val="decimal"/>
      <w:lvlText w:val="●.%2."/>
      <w:lvlJc w:val="left"/>
      <w:pPr>
        <w:ind w:left="1152" w:hanging="432"/>
      </w:pPr>
      <w:rPr>
        <w:u w:val="none"/>
      </w:rPr>
    </w:lvl>
    <w:lvl w:ilvl="2">
      <w:start w:val="1"/>
      <w:numFmt w:val="decimal"/>
      <w:lvlText w:val="●.%2.%3."/>
      <w:lvlJc w:val="left"/>
      <w:pPr>
        <w:ind w:left="1584" w:hanging="504"/>
      </w:pPr>
      <w:rPr>
        <w:u w:val="none"/>
      </w:rPr>
    </w:lvl>
    <w:lvl w:ilvl="3">
      <w:start w:val="1"/>
      <w:numFmt w:val="decimal"/>
      <w:lvlText w:val="●.%2.%3.%4."/>
      <w:lvlJc w:val="left"/>
      <w:pPr>
        <w:ind w:left="2088" w:hanging="648"/>
      </w:pPr>
      <w:rPr>
        <w:u w:val="none"/>
      </w:rPr>
    </w:lvl>
    <w:lvl w:ilvl="4">
      <w:start w:val="1"/>
      <w:numFmt w:val="decimal"/>
      <w:lvlText w:val="●.%2.%3.%4.%5."/>
      <w:lvlJc w:val="left"/>
      <w:pPr>
        <w:ind w:left="2592" w:hanging="792"/>
      </w:pPr>
      <w:rPr>
        <w:u w:val="none"/>
      </w:rPr>
    </w:lvl>
    <w:lvl w:ilvl="5">
      <w:start w:val="1"/>
      <w:numFmt w:val="decimal"/>
      <w:lvlText w:val="●.%2.%3.%4.%5.%6."/>
      <w:lvlJc w:val="left"/>
      <w:pPr>
        <w:ind w:left="3096" w:hanging="935"/>
      </w:pPr>
      <w:rPr>
        <w:u w:val="none"/>
      </w:rPr>
    </w:lvl>
    <w:lvl w:ilvl="6">
      <w:start w:val="1"/>
      <w:numFmt w:val="decimal"/>
      <w:lvlText w:val="●.%2.%3.%4.%5.%6.%7."/>
      <w:lvlJc w:val="left"/>
      <w:pPr>
        <w:ind w:left="3600" w:hanging="1080"/>
      </w:pPr>
      <w:rPr>
        <w:u w:val="none"/>
      </w:rPr>
    </w:lvl>
    <w:lvl w:ilvl="7">
      <w:start w:val="1"/>
      <w:numFmt w:val="decimal"/>
      <w:lvlText w:val="●.%2.%3.%4.%5.%6.%7.%8."/>
      <w:lvlJc w:val="left"/>
      <w:pPr>
        <w:ind w:left="4104" w:hanging="1224"/>
      </w:pPr>
      <w:rPr>
        <w:u w:val="none"/>
      </w:rPr>
    </w:lvl>
    <w:lvl w:ilvl="8">
      <w:start w:val="1"/>
      <w:numFmt w:val="decimal"/>
      <w:lvlText w:val="●.%2.%3.%4.%5.%6.%7.%8.%9."/>
      <w:lvlJc w:val="left"/>
      <w:pPr>
        <w:ind w:left="4680" w:hanging="1440"/>
      </w:pPr>
      <w:rPr>
        <w:u w:val="none"/>
      </w:rPr>
    </w:lvl>
  </w:abstractNum>
  <w:abstractNum w:abstractNumId="2">
    <w:lvl w:ilvl="0">
      <w:start w:val="1"/>
      <w:numFmt w:val="decimal"/>
      <w:lvlText w:val="%1."/>
      <w:lvlJc w:val="left"/>
      <w:pPr>
        <w:ind w:left="720" w:hanging="360"/>
      </w:pPr>
      <w:rPr>
        <w:color w:val="000000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>
    <w:lvl w:ilvl="0">
      <w:start w:val="2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>
    <w:lvl w:ilvl="0">
      <w:start w:val="3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decimal"/>
      <w:lvlText w:val="%1.%2."/>
      <w:lvlJc w:val="left"/>
      <w:pPr>
        <w:ind w:left="1152" w:hanging="432"/>
      </w:pPr>
      <w:rPr>
        <w:u w:val="none"/>
      </w:rPr>
    </w:lvl>
    <w:lvl w:ilvl="2">
      <w:start w:val="1"/>
      <w:numFmt w:val="decimal"/>
      <w:lvlText w:val="%1.%2.%3."/>
      <w:lvlJc w:val="left"/>
      <w:pPr>
        <w:ind w:left="1584" w:hanging="504"/>
      </w:pPr>
      <w:rPr>
        <w:u w:val="none"/>
      </w:rPr>
    </w:lvl>
    <w:lvl w:ilvl="3">
      <w:start w:val="1"/>
      <w:numFmt w:val="decimal"/>
      <w:lvlText w:val="%1.%2.%3.%4."/>
      <w:lvlJc w:val="left"/>
      <w:pPr>
        <w:ind w:left="2088" w:hanging="648"/>
      </w:pPr>
      <w:rPr>
        <w:u w:val="none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u w:val="none"/>
      </w:rPr>
    </w:lvl>
    <w:lvl w:ilvl="5">
      <w:start w:val="1"/>
      <w:numFmt w:val="decimal"/>
      <w:lvlText w:val="%1.%2.%3.%4.%5.%6."/>
      <w:lvlJc w:val="left"/>
      <w:pPr>
        <w:ind w:left="3096" w:hanging="935"/>
      </w:pPr>
      <w:rPr>
        <w:u w:val="none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u w:val="none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u w:val="none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u w:val="none"/>
      </w:rPr>
    </w:lvl>
  </w:abstractNum>
  <w:abstractNum w:abstractNumId="5">
    <w:lvl w:ilvl="0">
      <w:start w:val="1"/>
      <w:numFmt w:val="bullet"/>
      <w:lvlText w:val="●"/>
      <w:lvlJc w:val="left"/>
      <w:pPr>
        <w:ind w:left="1146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866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586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3306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4026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746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466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6186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906" w:hanging="360"/>
      </w:pPr>
      <w:rPr>
        <w:rFonts w:ascii="Noto Sans Symbols" w:cs="Noto Sans Symbols" w:eastAsia="Noto Sans Symbols" w:hAnsi="Noto Sans Symbols"/>
      </w:rPr>
    </w:lvl>
  </w:abstractNum>
  <w:abstractNum w:abstractNumId="6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  <w:u w:val="none"/>
      </w:rPr>
    </w:lvl>
    <w:lvl w:ilvl="1">
      <w:start w:val="1"/>
      <w:numFmt w:val="bullet"/>
      <w:lvlText w:val="●"/>
      <w:lvlJc w:val="left"/>
      <w:pPr>
        <w:ind w:left="1152" w:hanging="432"/>
      </w:pPr>
      <w:rPr>
        <w:rFonts w:ascii="Noto Sans Symbols" w:cs="Noto Sans Symbols" w:eastAsia="Noto Sans Symbols" w:hAnsi="Noto Sans Symbols"/>
        <w:u w:val="none"/>
      </w:rPr>
    </w:lvl>
    <w:lvl w:ilvl="2">
      <w:start w:val="1"/>
      <w:numFmt w:val="decimal"/>
      <w:lvlText w:val="●.●.%3."/>
      <w:lvlJc w:val="left"/>
      <w:pPr>
        <w:ind w:left="1584" w:hanging="504"/>
      </w:pPr>
      <w:rPr>
        <w:u w:val="none"/>
      </w:rPr>
    </w:lvl>
    <w:lvl w:ilvl="3">
      <w:start w:val="1"/>
      <w:numFmt w:val="decimal"/>
      <w:lvlText w:val="●.●.%3.%4."/>
      <w:lvlJc w:val="left"/>
      <w:pPr>
        <w:ind w:left="2088" w:hanging="648"/>
      </w:pPr>
      <w:rPr>
        <w:u w:val="none"/>
      </w:rPr>
    </w:lvl>
    <w:lvl w:ilvl="4">
      <w:start w:val="1"/>
      <w:numFmt w:val="decimal"/>
      <w:lvlText w:val="●.●.%3.%4.%5."/>
      <w:lvlJc w:val="left"/>
      <w:pPr>
        <w:ind w:left="2592" w:hanging="792"/>
      </w:pPr>
      <w:rPr>
        <w:u w:val="none"/>
      </w:rPr>
    </w:lvl>
    <w:lvl w:ilvl="5">
      <w:start w:val="1"/>
      <w:numFmt w:val="decimal"/>
      <w:lvlText w:val="●.●.%3.%4.%5.%6."/>
      <w:lvlJc w:val="left"/>
      <w:pPr>
        <w:ind w:left="3096" w:hanging="935"/>
      </w:pPr>
      <w:rPr>
        <w:u w:val="none"/>
      </w:rPr>
    </w:lvl>
    <w:lvl w:ilvl="6">
      <w:start w:val="1"/>
      <w:numFmt w:val="decimal"/>
      <w:lvlText w:val="●.●.%3.%4.%5.%6.%7."/>
      <w:lvlJc w:val="left"/>
      <w:pPr>
        <w:ind w:left="3600" w:hanging="1080"/>
      </w:pPr>
      <w:rPr>
        <w:u w:val="none"/>
      </w:rPr>
    </w:lvl>
    <w:lvl w:ilvl="7">
      <w:start w:val="1"/>
      <w:numFmt w:val="decimal"/>
      <w:lvlText w:val="●.●.%3.%4.%5.%6.%7.%8."/>
      <w:lvlJc w:val="left"/>
      <w:pPr>
        <w:ind w:left="4104" w:hanging="1224"/>
      </w:pPr>
      <w:rPr>
        <w:u w:val="none"/>
      </w:rPr>
    </w:lvl>
    <w:lvl w:ilvl="8">
      <w:start w:val="1"/>
      <w:numFmt w:val="decimal"/>
      <w:lvlText w:val="●.●.%3.%4.%5.%6.%7.%8.%9."/>
      <w:lvlJc w:val="left"/>
      <w:pPr>
        <w:ind w:left="4680" w:hanging="1440"/>
      </w:pPr>
      <w:rPr>
        <w:u w:val="none"/>
      </w:rPr>
    </w:lvl>
  </w:abstractNum>
  <w:abstractNum w:abstractNumId="7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8">
    <w:lvl w:ilvl="0">
      <w:start w:val="1"/>
      <w:numFmt w:val="decimal"/>
      <w:lvlText w:val="%1."/>
      <w:lvlJc w:val="left"/>
      <w:pPr>
        <w:ind w:left="450" w:hanging="450"/>
      </w:pPr>
      <w:rPr/>
    </w:lvl>
    <w:lvl w:ilvl="1">
      <w:start w:val="1"/>
      <w:numFmt w:val="decimal"/>
      <w:lvlText w:val="%1.%2."/>
      <w:lvlJc w:val="left"/>
      <w:pPr>
        <w:ind w:left="1080" w:hanging="720"/>
      </w:pPr>
      <w:rPr/>
    </w:lvl>
    <w:lvl w:ilvl="2">
      <w:start w:val="1"/>
      <w:numFmt w:val="decimal"/>
      <w:lvlText w:val="%1.%2.%3."/>
      <w:lvlJc w:val="left"/>
      <w:pPr>
        <w:ind w:left="1440" w:hanging="720"/>
      </w:pPr>
      <w:rPr/>
    </w:lvl>
    <w:lvl w:ilvl="3">
      <w:start w:val="1"/>
      <w:numFmt w:val="decimal"/>
      <w:lvlText w:val="%1.%2.%3.%4."/>
      <w:lvlJc w:val="left"/>
      <w:pPr>
        <w:ind w:left="2160" w:hanging="1080"/>
      </w:pPr>
      <w:rPr/>
    </w:lvl>
    <w:lvl w:ilvl="4">
      <w:start w:val="1"/>
      <w:numFmt w:val="decimal"/>
      <w:lvlText w:val="%1.%2.%3.%4.%5."/>
      <w:lvlJc w:val="left"/>
      <w:pPr>
        <w:ind w:left="2520" w:hanging="1080"/>
      </w:pPr>
      <w:rPr/>
    </w:lvl>
    <w:lvl w:ilvl="5">
      <w:start w:val="1"/>
      <w:numFmt w:val="decimal"/>
      <w:lvlText w:val="%1.%2.%3.%4.%5.%6."/>
      <w:lvlJc w:val="left"/>
      <w:pPr>
        <w:ind w:left="3240" w:hanging="1440"/>
      </w:pPr>
      <w:rPr/>
    </w:lvl>
    <w:lvl w:ilvl="6">
      <w:start w:val="1"/>
      <w:numFmt w:val="decimal"/>
      <w:lvlText w:val="%1.%2.%3.%4.%5.%6.%7."/>
      <w:lvlJc w:val="left"/>
      <w:pPr>
        <w:ind w:left="3960" w:hanging="1800"/>
      </w:pPr>
      <w:rPr/>
    </w:lvl>
    <w:lvl w:ilvl="7">
      <w:start w:val="1"/>
      <w:numFmt w:val="decimal"/>
      <w:lvlText w:val="%1.%2.%3.%4.%5.%6.%7.%8."/>
      <w:lvlJc w:val="left"/>
      <w:pPr>
        <w:ind w:left="4320" w:hanging="1800"/>
      </w:pPr>
      <w:rPr/>
    </w:lvl>
    <w:lvl w:ilvl="8">
      <w:start w:val="1"/>
      <w:numFmt w:val="decimal"/>
      <w:lvlText w:val="%1.%2.%3.%4.%5.%6.%7.%8.%9."/>
      <w:lvlJc w:val="left"/>
      <w:pPr>
        <w:ind w:left="5040" w:hanging="2160"/>
      </w:pPr>
      <w:rPr/>
    </w:lvl>
  </w:abstractNum>
  <w:abstractNum w:abstractNumId="9">
    <w:lvl w:ilvl="0">
      <w:start w:val="1"/>
      <w:numFmt w:val="decimal"/>
      <w:lvlText w:val="%1."/>
      <w:lvlJc w:val="left"/>
      <w:pPr>
        <w:ind w:left="1211" w:hanging="360"/>
      </w:pPr>
      <w:rPr/>
    </w:lvl>
    <w:lvl w:ilvl="1">
      <w:start w:val="1"/>
      <w:numFmt w:val="decimal"/>
      <w:lvlText w:val="%1.%2."/>
      <w:lvlJc w:val="left"/>
      <w:pPr>
        <w:ind w:left="1567" w:hanging="432.0000000000002"/>
      </w:pPr>
      <w:rPr>
        <w:color w:val="000000"/>
      </w:rPr>
    </w:lvl>
    <w:lvl w:ilvl="2">
      <w:start w:val="1"/>
      <w:numFmt w:val="decimal"/>
      <w:lvlText w:val="%1.%2.%3."/>
      <w:lvlJc w:val="left"/>
      <w:pPr>
        <w:ind w:left="1224" w:hanging="504"/>
      </w:pPr>
      <w:rPr/>
    </w:lvl>
    <w:lvl w:ilvl="3">
      <w:start w:val="1"/>
      <w:numFmt w:val="decimal"/>
      <w:lvlText w:val="%1.%2.%3.%4."/>
      <w:lvlJc w:val="left"/>
      <w:pPr>
        <w:ind w:left="1728" w:hanging="647"/>
      </w:pPr>
      <w:rPr/>
    </w:lvl>
    <w:lvl w:ilvl="4">
      <w:start w:val="1"/>
      <w:numFmt w:val="decimal"/>
      <w:lvlText w:val="%1.%2.%3.%4.%5."/>
      <w:lvlJc w:val="left"/>
      <w:pPr>
        <w:ind w:left="2232" w:hanging="792"/>
      </w:pPr>
      <w:rPr/>
    </w:lvl>
    <w:lvl w:ilvl="5">
      <w:start w:val="1"/>
      <w:numFmt w:val="decimal"/>
      <w:lvlText w:val="%1.%2.%3.%4.%5.%6."/>
      <w:lvlJc w:val="left"/>
      <w:pPr>
        <w:ind w:left="2736" w:hanging="933"/>
      </w:pPr>
      <w:rPr/>
    </w:lvl>
    <w:lvl w:ilvl="6">
      <w:start w:val="1"/>
      <w:numFmt w:val="decimal"/>
      <w:lvlText w:val="%1.%2.%3.%4.%5.%6.%7."/>
      <w:lvlJc w:val="left"/>
      <w:pPr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ind w:left="3744" w:hanging="1224.0000000000005"/>
      </w:pPr>
      <w:rPr/>
    </w:lvl>
    <w:lvl w:ilvl="8">
      <w:start w:val="1"/>
      <w:numFmt w:val="decimal"/>
      <w:lvlText w:val="%1.%2.%3.%4.%5.%6.%7.%8.%9."/>
      <w:lvlJc w:val="left"/>
      <w:pPr>
        <w:ind w:left="4320" w:hanging="1440"/>
      </w:pPr>
      <w:rPr/>
    </w:lvl>
  </w:abstractNum>
  <w:abstractNum w:abstractNumId="10">
    <w:lvl w:ilvl="0">
      <w:start w:val="3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decimal"/>
      <w:lvlText w:val="%1.%2."/>
      <w:lvlJc w:val="left"/>
      <w:pPr>
        <w:ind w:left="1152" w:hanging="432"/>
      </w:pPr>
      <w:rPr>
        <w:u w:val="none"/>
      </w:rPr>
    </w:lvl>
    <w:lvl w:ilvl="2">
      <w:start w:val="1"/>
      <w:numFmt w:val="decimal"/>
      <w:lvlText w:val="%1.%2.%3."/>
      <w:lvlJc w:val="left"/>
      <w:pPr>
        <w:ind w:left="1584" w:hanging="504"/>
      </w:pPr>
      <w:rPr>
        <w:u w:val="none"/>
      </w:rPr>
    </w:lvl>
    <w:lvl w:ilvl="3">
      <w:start w:val="1"/>
      <w:numFmt w:val="decimal"/>
      <w:lvlText w:val="%1.%2.%3.%4."/>
      <w:lvlJc w:val="left"/>
      <w:pPr>
        <w:ind w:left="2088" w:hanging="648"/>
      </w:pPr>
      <w:rPr>
        <w:u w:val="none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u w:val="none"/>
      </w:rPr>
    </w:lvl>
    <w:lvl w:ilvl="5">
      <w:start w:val="1"/>
      <w:numFmt w:val="decimal"/>
      <w:lvlText w:val="%1.%2.%3.%4.%5.%6."/>
      <w:lvlJc w:val="left"/>
      <w:pPr>
        <w:ind w:left="3096" w:hanging="935"/>
      </w:pPr>
      <w:rPr>
        <w:u w:val="none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u w:val="none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u w:val="none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u w:val="none"/>
      </w:rPr>
    </w:lvl>
  </w:abstractNum>
  <w:abstractNum w:abstractNumId="11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  <w:color w:val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12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2"/>
        <w:szCs w:val="22"/>
        <w:lang w:val="sr-Latn-ME"/>
      </w:rPr>
    </w:rPrDefault>
    <w:pPrDefault>
      <w:pPr>
        <w:spacing w:after="160" w:line="259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bCs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bCs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bCs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bCs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bCs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bCs w:val="1"/>
      <w:sz w:val="20"/>
      <w:szCs w:val="20"/>
    </w:rPr>
  </w:style>
  <w:style w:type="paragraph" w:styleId="Title">
    <w:name w:val="Title"/>
    <w:basedOn w:val="Normal"/>
    <w:next w:val="Normal"/>
    <w:pPr>
      <w:spacing w:after="80" w:before="120" w:line="192" w:lineRule="auto"/>
      <w:ind w:left="1134"/>
    </w:pPr>
    <w:rPr>
      <w:sz w:val="28"/>
      <w:szCs w:val="28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iCs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10.png"/><Relationship Id="rId10" Type="http://schemas.openxmlformats.org/officeDocument/2006/relationships/image" Target="media/image3.png"/><Relationship Id="rId13" Type="http://schemas.openxmlformats.org/officeDocument/2006/relationships/image" Target="media/image8.png"/><Relationship Id="rId12" Type="http://schemas.openxmlformats.org/officeDocument/2006/relationships/image" Target="media/image9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footer" Target="footer2.xml"/><Relationship Id="rId15" Type="http://schemas.openxmlformats.org/officeDocument/2006/relationships/image" Target="media/image7.png"/><Relationship Id="rId14" Type="http://schemas.openxmlformats.org/officeDocument/2006/relationships/image" Target="media/image4.jp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header" Target="header1.xml"/><Relationship Id="rId8" Type="http://schemas.openxmlformats.org/officeDocument/2006/relationships/footer" Target="footer1.xml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NotoSansSymbols-regular.ttf"/><Relationship Id="rId2" Type="http://schemas.openxmlformats.org/officeDocument/2006/relationships/font" Target="fonts/NotoSansSymbols-bold.ttf"/><Relationship Id="rId3" Type="http://schemas.openxmlformats.org/officeDocument/2006/relationships/font" Target="fonts/Barlow-regular.ttf"/><Relationship Id="rId4" Type="http://schemas.openxmlformats.org/officeDocument/2006/relationships/font" Target="fonts/Barlow-bold.ttf"/><Relationship Id="rId5" Type="http://schemas.openxmlformats.org/officeDocument/2006/relationships/font" Target="fonts/Barlow-italic.ttf"/><Relationship Id="rId6" Type="http://schemas.openxmlformats.org/officeDocument/2006/relationships/font" Target="fonts/Barlow-boldItalic.ttf"/></Relationships>
</file>

<file path=word/_rels/footer2.xml.rels><?xml version="1.0" encoding="UTF-8" standalone="yes"?><Relationships xmlns="http://schemas.openxmlformats.org/package/2006/relationships"><Relationship Id="rId1" Type="http://schemas.openxmlformats.org/officeDocument/2006/relationships/image" Target="media/image2.jpg"/><Relationship Id="rId2" Type="http://schemas.openxmlformats.org/officeDocument/2006/relationships/image" Target="media/image1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5.jpg"/><Relationship Id="rId2" Type="http://schemas.openxmlformats.org/officeDocument/2006/relationships/image" Target="media/image6.png"/><Relationship Id="rId3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Rix0BqNfHg0rO+3WRtVvM/kL+0Q==">CgMxLjAyDmgueXczYW9oZndvODh3MghoLmdqZGd4czIOaC5vMWFmZmpzeTJrejQyCWguMzBqMHpsbDIOaC5qdmFkeXBjeWh2YnQyDmgueHhsNDhzeDN5M2xhMg5oLmtjeWNzNmtpMjFpZjIOaC5menJ5Y3h5MjB0dXEyDWguY3RmZ3ZsZzkzOGwyDmgudG5tMDVyZDdndTh6Mg5oLml1YWVoNDgzZmJuazIOaC4xYXUxdm01NmY5Z3AyDmguNnJ1cW1pZ2w2dXQ4MgloLjN6bnlzaDcyDmguZDM5eDFjYmUxc3J5Mg5oLnhzOGl0cGJ4b3NsODgAciExMWtKRThHVmR2bFlKX3ZNZEllTEZJUVktTUlrTENIX1g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